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2024年度海安市人民检察院部门决算公开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海安市人民检察院是国家的法律监督机关，主要任务是依法履行法律监督职能，保证国家法律的统一正确实施。其主要职责是：</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(1)深入贯彻习近平新时代中国特色社会主义思想，深入贯彻党的路线方针政策和决策部署，坚持党对检察工作的绝对领导，坚决维护习近平总书记的核心地位，坚决维护党中央权威和集中统一领导。</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(2)依法向市人民代表大会及其常务委员会提出议案。</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(3)贯彻落实上级人民检察院工作方针、总体规划，确定本院检察工作任务，并组织实施。</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(4)负责对刑事案件依法审查批准速捕、决定逮捕提起公诉。</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(5)负责对刑事、民事、行政诉讼活动及刑事、民事、行政判决和裁定等生效法律文书执行的法律监督工作。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(6)负责提起公益诉讼工作。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(7)负责对看守所、社区矫正机构等单位执法活动的法律监督工作。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(8)受理控告申诉和举报，承办国家赔偿案件和国家司法救助案件。</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(9)负责队伍建设和思想政治工作。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(10)负责检务督察工作。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(11)负责财务装备、检察技术信息工作。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(12)负责其他应当由市人民检察院承办的事项。</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办公室、第一检察部、第二检察部、第三检察部、第四检察部、第五检察部、第六检察部、政治部。</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本部门无下属单位。</w:t>
      </w:r>
      <w:r>
        <w:rPr>
          <w:rFonts w:ascii="仿宋" w:eastAsia="仿宋" w:hAnsi="仿宋" w:cs="仿宋"/>
          <w:u w:color="auto"/>
        </w:rPr>
        <w:t/>
      </w:r>
      <w:r>
        <w:rPr>
          <w:rFonts w:ascii="仿宋" w:eastAsia="仿宋" w:hAnsi="仿宋" w:cs="仿宋"/>
          <w:u w:color="auto"/>
        </w:rPr>
        <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hint="eastAsia" w:ascii="仿宋" w:hAnsi="仿宋" w:eastAsia="仿宋" w:cs="仿宋"/>
          <w:lang w:val="en-US"/>
          <w:u/>
        </w:rPr>
        <w:t/>
      </w:r>
      <w:r>
        <w:rPr>
          <w:rFonts w:ascii="仿宋" w:eastAsia="仿宋" w:hAnsi="仿宋" w:cs="仿宋"/>
          <w:u w:color="auto"/>
        </w:rPr>
        <w:t/>
      </w:r>
      <w:r>
        <w:rPr>
          <w:rFonts w:ascii="仿宋" w:eastAsia="仿宋" w:hAnsi="仿宋" w:cs="仿宋"/>
          <w:u w:color="auto"/>
        </w:rPr>
        <w:t>1</w:t>
      </w:r>
      <w:r>
        <w:rPr>
          <w:rFonts w:ascii="仿宋" w:eastAsia="仿宋" w:hAnsi="仿宋" w:cs="仿宋"/>
          <w:u w:color="auto"/>
        </w:rPr>
        <w:t/>
      </w:r>
      <w:r>
        <w:rPr>
          <w:rFonts w:ascii="仿宋" w:eastAsia="仿宋" w:hAnsi="仿宋" w:cs="仿宋"/>
          <w:u w:color="auto"/>
        </w:rPr>
        <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海安市人民检察院本级。</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以来，我院认真贯彻落实市委和市委政法委决策部署，忠实履行法律监督职责，坚持在法治轨道上维护稳定、促进发展、保障善治，推动各项检察工作取得新成效。共获得市级以上荣誉43项，6件案例入选全国、全省典型案例，被最高检采用信息5篇，工作做法被省级以上媒体宣传报道136次。省检察院党组副书记、副检察长李爱君、党组成员、副检察长席玉峰等领导到院调研，对我院检察工作情况给予充分肯定。</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聚焦中心大局，以高站位检察履职服务改革发展。从严打击影响群众安全感的犯罪，依法严惩抢劫、故意伤害等暴力犯罪43人，起诉“两抢一盗一骗”犯罪44人。常态化开展扫黑除恶斗争，持续推进“九类案件”警情强制检索报告制度，联合公安排查涉黑涉恶线索45件。积极服务安全生产工作，起诉重大责任事故等危害安全生产犯罪18人，加强类案分析研究，参与起草的危害安全生产犯罪情况报告被省长许昆林批示肯定。全面落实宽严相济刑事政策，检察环节认罪认罚从宽制度适用率90.89%，一审服判率96.3%，有效钝化社会矛盾纠纷。深化监检衔接配合，助力纠治群众身边不正之风和腐败问题，提前介入职务犯罪案件7件，提出意见15条，起诉10件10人。倾力营造更优营商环境，深入推进“检察护企”专项行动，优化涉企办案机制，办理涉企刑事案件46件91人，联合公安追赃挽损5200余万元。我院获评“南通市营商环境提升先进集体”，并在全省“检察护企”专项行动调研督导会上作经验交流。积极参与整顿和规范市场经济秩序，依法惩治提供虚假证明文件、非法经营等犯罪170人，吴某某提供虚假证明文件案入选最高检依法惩治中介组织财务造假相关犯罪典型案例。主动站位企业“需求端”提供法治服务，办理民营企业内部腐败犯罪30件56人，清理涉企“挂案”31件，全力减轻企业“诉累”。会同市场监管、司法等部门开展“亲商助企”大走访，开展法律体检、主题党日等系列活动，为160多名企业家释法答疑。助力提升社会治理水平，依托基层社会治理“大体检”专项调研活动，围绕土地流转、农村集体经济“三资”管理等问题，制发社会治理类检察建议5份，实现治罪与治理并重。探索数字赋能法律监督，从消防灭火器网络销售数据模型中筛查出监督线索，专题调研报告获谭书记、赵市长、严书记批示肯定，推动在全市开展消防安全大排查活动，督促更换不合格灭火器2737个。积极践行新时代“枫桥经验”，妥善处理各类信访案件222件，7日内程序性回复率、3个月内办理答复率均为100%。强化法律文书规范性和说理性，提升司法公信力，刘某某申诉案刑事申诉结果通知书获评全国检察机关优秀法律文书。主动融入大接访格局，院领导接访53次、带案下访9次，包案办理疑难复杂案件12件，有力解“法结”、化“心结”。</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坚持人民至上，以高水平司法为民诠释检察初心。着力纾解群众急难愁盼，深入开展“检护民生”专项行动，办理食品药品领域案件32件74人，提起刑事附带民事公益诉讼5件，织密食药安全防护网。依法严惩电信网络诈骗及关联犯罪195人，对“缅北回流”案件中的13人批准逮捕、44人提起公诉，协同公安、法院追赃挽损1400余万元。办理的苏某某等9人“网店代运营”诈骗案被央视新闻频道专题宣传报道。严厉打击侵犯公民个人信息犯罪，依法批捕4名向全国14个省出售近万条公民个人信息的犯罪嫌疑人，工作信息被最高检采用。充分发挥司法救助对涉案家庭解危济困作用，向37人发放司法救助金30.8万元。切实保障特殊群体权益，组建打击侵犯妇女权益犯罪工作专班，依法批准逮捕12件24人，办案团队入选江苏省妇女权益保障立法和咨询专业团队。贯彻落实最高检“十一号检察建议”，联合公安、法院、民政部门建立养老机构从业人员入职查询和从业禁止机制，开展查询1989人次，经验做法被省检察院、最高检转发。在办理精神病人崔某扶养纠纷支持起诉案中，针对重残补贴发放问题制发检察建议，推动在全市层面开展“户户到、人人访”大排查专项行动，案件入选全省检察机关“检察为民办实事”十大典型案例。用心呵护未成年人健康成长，始终坚持对侵害未成年人犯罪“零容忍”，依法批准逮捕、起诉16人，撰写的专题调研报告获南通市委吴新明书记批示。坚持宽容不纵容，对未成年人犯罪起诉18件23人，对犯罪情节较轻的附条件不起诉12人、相对不起诉7人，“帮助涉窃未成年人回归正路”案被江苏省政法系统关工委评为结对帮教表扬案例。积极推动构建未成年人综合保护工作体系，与海安市慈善总会联合打造“安心护未”慈善基金品牌，为3名未成年人提供心理矫治，帮助5名困境未成年人重拾生活希望。承办南通市未成年人“一站式”办案工作现场推进会暨海安市“安心护未”慈善基金启动仪式，市委、省市检察院领导莅临指导，强化未成年人法治教育，开展网络安全、校园欺凌等法治宣讲60余场，受教育师生达2万余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精耕主责主业，以高质效法律监督维护公平正义。持续发力做优刑事检察，充分发挥诉前主导作用，实质化、规范化运转侦查监督与协作配合机制，监督立案5件5人，监督撤案11件16人，纠正侦查活动违法42件，纠正漏捕漏诉4人。加强刑事审判监督,纠正审判活动违法6件，提起抗诉1件，监督采纳率100%。持续推进“一站式”轻罪治理中心建设，组建轻罪类案研究课题组，完成省检察院交办的盗窃罪类案调研课题，并草拟《江苏省检察机关关于盗窃犯罪治罪与治理工作指引》（初稿）。强化刑事执行检察,对5名在缓刑考验期间内无证驾驶的社区矫正对象，监督撤销缓刑、收监执行。强化司法工作人员职务犯罪侦查中心建设，探索基层院检察侦查办案“平战结合”新模式，工作经验被省检察院推广。摸排司法工作人员职务犯罪线索9件，侦办异地民警徇私枉法犯罪2件2人，并承办省检察院考核庭，省市检察院、纪委监委、代表委员80余人观摩，取得良好成效。精准破题做强民事检察，强化对民事生效裁判、审判活动和执行活动全流程监督，受理并审查各类民事诉讼监督案件线索30件，民事审违监督和民事执行监督检察建议采纳率均为100%。持续整治虚假诉讼突出问题，聚焦买卖合同、劳动争议等虚假诉讼高发领域，加大监督力度。加强劳动者薪资权益保障，与妇联、残联等单位会签《关于建立民事支持起诉协作机制的若干意见》，办理民事支持起诉、支持仲裁73件。积极参与工人欠薪问题矛盾化解，推动3家建筑企业50余名农民工申请人民调解和司法确认，追回拖欠工资120余万元。力促规范做实行政检察，受理各类行政监督案件184件，向相关部门制发检察建议20份。加强行政执法和刑事司法反向衔接闭环管理，对不起诉后需要给予行政处罚的，向主管部门提出检察意见138件，实现“罚当其行”。开展企业恶意注销、信用惩戒等涉小微市场主体行政处罚监督专项，办理的某门业公司环境违法行政非诉执行监督案，获评全省检察机关涉企行政非诉执行监督典型案例。加强行政行为合法性审查，针对1起撤销婚姻登记申请监督案中，当事人因前妻虚构身份信息与其登记结婚，感情破裂后无法办理离婚登记的情况，制发检察建议助力撤销虚假婚姻登记，相关做法被《法治日报》《检察日报》宣传报道。提质增效做好公益诉讼检察，履行公共利益代表职责，推进“六长出题”检察答题，立案公益诉讼39件，发出检察建议23件。加强红色资源保护利用，实地走访查勘新四军战斗遗址35处，会同有关部门维护和修缮5处。开展水资源保护专项行动，联合职能部门责令当事人拆除6处违法取水设施，追缴水资源费110余万元。持续推进生态环境损害赔偿磋商，推动处置建筑垃圾1972吨，促成230余万元生态环境损害赔偿金履行到位，办理的2件企业污染环境公益诉讼案分别获评江苏省第四批生态环境损害赔偿典型案例和提名表扬案例。</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是强化政治统领，以高标准自身建设锻造检察铁军。始终抓牢政治建设，严格落实“第一议题”制度，跟进学习习近平总书记重要讲话指示批示精神32次，以忠诚履职坚定拥护“两个确立”，坚决做到“两个维护”。常态开展政治忠诚教育和党性教育，领导干部带头上党课11次，党组会专题研究党建、意识形态等工作8次。细化落实重大事项请示报告制度，向海安市委以及市委政法委、南通市检察院请示报告重大事项24件次。发挥“红蓝先锋·奉法护航”党建品牌引领作用，持续推进党建与业务深度融合，“紫石蓝盾”品牌获评全省检察机关法警大队特色品牌。全面激发队伍活力，推进检察文化建设，打造“四馆-五中心-一走廊”海检文化阵地，我院维桢馆获评2024年江苏省总工会重点建设职工书屋。健全青年人才培养机制，分别制定1至5年培养规划，实施积分制管理，动态调整青年人才库，提升培养质效。加强队伍专业化建设，依托“周三夜校”“海睿法学社”等练兵平台，组织干警开发课程17门、上台授课18场、开展对抗辩论等活动7场，综合素能整体精进。10人次在南通市级以上比武竞赛中获奖，5人获评省级以上先进典型，6人入选全国、全省检察机关人才库。扎实推进从严治检，深入开展党纪学习教育，将案例警示教育、党纪知识竞答、廉政故事分享融入日常，全力营造学纪知纪明纪守纪氛围。严格执行“三个规定”重大事项记录报告制度，全院干警记录填报47件次，“逢问必录”成为行动自觉。自觉接受监督，全力配合派驻纪检监察组工作，紧盯检察官办案廉政风险点，联合开展专项督察6次、个案督查15件，谈心谈话134人次，保持干警违纪违法“零记录”。</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海安市人民检察院</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部门</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color w:val="000000"/>
                <w:lang w:eastAsia="ar-SA"/>
              </w:rPr>
              <w:t>海安市人民检察院</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3,868.39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2,831.58</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240.29</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797.52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3,880.15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3,869.39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15.70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26.46</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3,895.85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3,895.85</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3,880.15</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3,868.39</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11.76</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2,842.34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2,830.58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11.76</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检察</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2,842.34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2,830.58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11.76</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2040401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2,012.19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2,012.19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2040402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389.33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388.33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1.00</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2040410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检察监督</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188.99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178.23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10.77</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其他检察支出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251.83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251.83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240.29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240.29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237.39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237.39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151.91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151.91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76.26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76.26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20811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残疾人事业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2081199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其他残疾人事业支出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797.52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797.52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797.52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797.52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189.27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189.27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608.25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608.25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3,869.39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3,037.88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831.51</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2,831.58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2,012.19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819.39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检察</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2,831.58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2,012.19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819.39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2040401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2,012.19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2,012.19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2040402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389.33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389.33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2040410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检察监督</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178.23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178.23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2040499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其他检察支出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251.83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251.83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240.29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228.17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12.12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237.39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228.17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9.22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9.22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9.22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151.91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151.91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76.26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76.26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20811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残疾人事业</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2.90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2081199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其他残疾人事业支出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2.90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797.52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797.52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797.52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797.52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189.27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189.27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608.25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608.25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3,868.39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2,830.58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2,830.58</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240.29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240.29</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797.52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797.52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3,868.39</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3,868.39</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3,037.88</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830.51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2,830.58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2,012.19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818.39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2,830.58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2,012.19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818.39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2,012.19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2,012.19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388.33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388.33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2040410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检察监督</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178.23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178.23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251.83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251.83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240.29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228.17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12.12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237.39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228.17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9.22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9.22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9.22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151.91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151.91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76.26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76.26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2.90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2081199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其他残疾人事业支出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2.90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797.52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797.52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797.52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797.52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189.27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189.27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608.25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608.25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3,037.88</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2,871.32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166.56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2,644.59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2,644.59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294.14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294.14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1,073.47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1,073.47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514.85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514.85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151.91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151.91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75.96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75.96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20.63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101.07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101.07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284.48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284.48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128.08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128.08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166.56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166.56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45.70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45.70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7.01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7.01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1.73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0.94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19.88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19.88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3.26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6.93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6.93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70.11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9.21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226.73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226.73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48.48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48.48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169.84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169.84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7.15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3,868.39</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3,037.88</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830.51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2,830.58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2,012.19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818.39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2,830.58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2,012.19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818.39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2,012.19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2,012.19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388.33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388.33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2040410</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检察监督</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178.23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178.23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251.83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251.83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240.29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228.17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12.12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237.39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228.17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9.22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9.22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9.22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151.91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151.91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76.26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76.26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2.90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2081199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其他残疾人事业支出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2.90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797.52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797.52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797.52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797.52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189.27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189.27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608.25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608.25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3,037.88</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2,871.32</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166.56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2,644.59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2,644.59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294.14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294.14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1,073.47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1,073.47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514.85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514.85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151.91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151.91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75.96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75.96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20.63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20.63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101.07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101.07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284.48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284.48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128.08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128.08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166.56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166.56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45.70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45.70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7.01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7.01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0.06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0.55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0.55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1.73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0.94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19.88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19.88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3.26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6.93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6.93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70.11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9.21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226.73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226.73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48.48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48.48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169.84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169.84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7.15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47.88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42.90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35.96</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6.94</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4.98</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1.73</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10.16</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47.88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42.90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35.96</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6.94</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4.98</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1.73</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10.16</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12</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59</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607</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255</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13</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902</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部门</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部门</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166.56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166.56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45.70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1.18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7.01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0.06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0.55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1.73</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0.94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19.88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3.26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6.93</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70.11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9.21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海安市人民检察院</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274.34</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167.66</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106.68</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2024年度收入、支出决算总计3,895.85万元。与上年相比，收、支总计各减少88.91万元，减少2.23%。其中：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（一）收入决算总计3,895.85万元。包括：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1.本年收入决算合计3,880.15万元。与上年相比，减少95.11万元，减少2.39%，变动原因：厉行节约，压降一般性支出，如办案经费等项目均进行压降。</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3.年初结转和结余15.7万元。与上年相比，增加6.2万元，增长65.26%，变动原因：增加省院电子检务工程退款、商务活动经费项目余款等。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（二）支出决算总计3,895.85万元。包括：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1.本年支出决算合计3,869.39万元。与上年相比，减少99.68万元，减少2.51%，变动原因：厉行节约，压降一般性支出，如办案经费等项目均进行压降。</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3.年末结转和结余26.46万元。结转和结余事项：政府专项资金、政法委慰问费、车辆报废款、餐费等。与上年相比，增加10.77万元，增长68.64%，变动原因：省院电子检务工程退款结转，政府专项资金变动。</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3,880.15万元，其中：财政拨款收入3,868.39万元，占99.7%；上级补助收入0万元，占0%；财政专户管理教育收费0万元，占0%；事业收入（不含专户管理教育收费）0万元，占0%；经营收入0万元，占0%；附属单位上缴收入0万元，占0%；其他收入11.76万元，占0.3%。</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2024年度本年支出决算合计3,869.39万元，其中：基本支出3,037.88万元，占78.51%；项目支出831.51万元，占21.49%；上缴上级支出0万元，占0%；经营支出0万元，占0%；对附属单位补助支出0万元，占0%。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2024年度财政拨款收入、支出决算总计3,868.39万元。与上年相比，收、支总计各减少99.27万元，减少2.5%，变动原因：厉行节约，压降一般性支出，如办案经费等项目均进行压降。</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2024年度财政拨款支出决算3,868.39万元，占本年支出合计的99.97%。与2024年度财政拨款支出年初预算3,852.01万元相比，完成年初预算的100.43%。其中：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（一）公共安全支出（类）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1.检察（款）行政运行（项）。年初预算1,884.65万元，支出决算2,012.19万元，完成年初预算的106.77%。决算数与年初预算数的差异原因：发放2022、2023年度考核奖金，追加人员经费等。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2.检察（款）一般行政管理事务（项）。年初预算401.33万元，支出决算388.33万元，完成年初预算的96.76%。决算数与年初预算数的差异原因：厉行节约，压降一般性支出，社会管理法治化经费等项目支出减少。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3.检察（款）检察监督（项）。年初预算220.47万元，支出决算178.23万元，完成年初预算的80.84%。决算数与年初预算数的差异原因：落实财政过“紧日子”规定，压减项目支出，办案经费等项目经费减少。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4.检察（款）其他检察支出（项）。年初预算278.57万元，支出决算251.83万元，完成年初预算的90.4%。决算数与年初预算数的差异原因：年初政法转移资金指标未下达，为预估数据。</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1.行政事业单位养老支出（款）行政单位离退休（项）。年初预算10.4万元，支出决算9.22万元，完成年初预算的88.65%。决算数与年初预算数的差异原因：离退休干部人员调整，该项经费调整。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2.行政事业单位养老支出（款）机关事业单位基本养老保险缴费支出（项）。年初预算158.59万元，支出决算151.91万元，完成年初预算的95.79%。决算数与年初预算数的差异原因：2024年度退休三人，人员经费调整。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3.行政事业单位养老支出（款）机关事业单位职业年金缴费支出（项）。年初预算79.3万元，支出决算76.26万元，完成年初预算的96.17%。决算数与年初预算数的差异原因：2024年度退休三人，人员经费调整。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4.残疾人事业（款）其他残疾人事业支出（项）。年初预算2.9万元，支出决算2.9万元，完成年初预算的100%。决算数与年初预算数相同。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1.住房改革支出（款）住房公积金（项）。年初预算205.33万元，支出决算189.27万元，完成年初预算的92.18%。决算数与年初预算数的差异原因：2024年度人员变动，退休三人，人员经费调整。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2.住房改革支出（款）提租补贴（项）。年初预算610.47万元，支出决算608.25万元，完成年初预算的99.64%。决算数与年初预算数的差异原因：2024年度人员变动，退休三人，人员经费调整。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2024年度财政拨款基本支出决算3,037.88万元，其中：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（一）人员经费2,871.32万元。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机关事业单位基本养老保险缴费、职业年金缴费、职工基本医疗保险缴费、其他社会保障缴费、住房公积金、其他工资福利支出、离休费、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（二）公用经费166.56万元。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主要包括：办公费、水费、邮电费、差旅费、维修（护）费、会议费、劳务费、工会经费、福利费、公务用车运行维护费、其他交通费用、其他商品和服务支出。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2024年度一般公共预算财政拨款支出决算3,868.39万元。与上年相比，减少99.27万元，减少2.5%，变动原因：厉行节约，压降一般性支出，如办案经费等项目均进行压降。</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2024年度一般公共预算财政拨款基本支出决算3,037.88万元，其中：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（一）人员经费2,871.32万元。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机关事业单位基本养老保险缴费、职业年金缴费、职工基本医疗保险缴费、其他社会保障缴费、住房公积金、其他工资福利支出、离休费、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（二）公用经费166.56万元。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主要包括：办公费、水费、邮电费、差旅费、维修（护）费、会议费、劳务费、工会经费、福利费、公务用车运行维护费、其他交通费用、其他商品和服务支出。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47.88万元（其中：一般公共预算支出47.88万元；政府性基金预算支出0万元；国有资本经营预算支出0万元）。与上年相比，减少7.16万元，变动原因：厉行节约，压减一般性支出，公务用车运行维护费减少。其中，因公出国（境）费支出0万元，占“三公”经费的0%；公务用车购置及运行维护费支出42.9万元，占“三公”经费的89.6%；公务接待费支出4.98万元，占“三公”经费的10.4%。2024年度财政拨款“三公”经费支出预算47.88万元（其中：一般公共预算支出47.88万元；政府性基金预算支出0万元；国有资本经营预算支出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42.9万元（其中：一般公共预算支出42.9万元；政府性基金预算支出0万元；国有资本经营预算支出0万元），支出决算42.9万元（其中：一般公共预算支出42.9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（1）公务用车购置支出决算35.96万元。本年度使用财政拨款购置公务用车2辆，开支内容：新购置两辆警车用于日常警务工作。</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6.94万元。公务用车运行维护费主要用于按规定保留的公务用车的燃料费、维修费、过桥过路费、保险费、安全奖励费用等支出。截至2024年12月31日，使用财政拨款开支的公务用车保有量为12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4.98万元（其中：一般公共预算支出4.98万元；政府性基金预算支出0万元；国有资本经营预算支出0万元），支出决算4.98万元（其中：一般公共预算支出4.98万元；政府性基金预算支出0万元；国有资本经营预算支出0万元），完成调整后预算的100%，决算数与预算数相同。其中：国内公务接待支出4.98万元，接待59批次，607人次，开支内容：上级检察院来我院指导工作、提审等、对口帮扶单位略阳检察院来我院交流考察等；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1.73万元（其中：一般公共预算支出1.73万元；政府性基金预算支出0万元；国有资本经营预算支出0万元），支出决算1.73万元（其中：一般公共预算支出1.73万元；政府性基金预算支出0万元；国有资本经营预算支出0万元），完成调整后预算的100%，决算数与预算数相同。2024年度全年召开会议7个，参加会议255人次，开支内容：组织召开全市检察机关办公室工作会议、检察工作通报会会议、市委政法委员会2024年第二次全体委员会等会议。</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10.16万元（其中：一般公共预算支出10.16万元；政府性基金预算支出0万元；国有资本经营预算支出0万元），支出决算10.16万元（其中：一般公共预算支出10.16万元；政府性基金预算支出0万元；国有资本经营预算支出0万元），完成调整后预算的100%，决算数与预算数相同。2024年度全年组织培训13个，组织培训902人次，开支内容：组织检察业务宣传培训、干警政治轮训等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166.56万元（其中：一般公共预算支出166.56万元；政府性基金预算支出0万元；国有资本经营预算支出0万元）。与上年相比，增加13.75万元，增长9%，变动原因：公务员遴选增加工作人员，公用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274.34万元，其中：政府采购货物支出167.66万元、政府采购工程支出0万元、政府采购服务支出106.68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部门共有车辆12辆，其中：副部(省)级及以上领导用车0辆、主要领导干部用车0辆、机要通信用车0辆、应急保障用车0辆、执法执勤用车12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2024年度，本部门共0个项目开展了财政重点绩效评价，涉及财政性资金合计0万元；本部门未开展部门整体支出财政重点绩效评价，涉及财政性资金0万元。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本部门组织所属单位共对上年度已实施完成的0个项目开展了绩效自评价，涉及财政性资金合计0万元；本部门组织所属单位共开展0项单位整体支出绩效自评价，涉及财政性资金合计0万元。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本部门共16个项目开展了部门评价，涉及财政性资金合计831.5万元；本部门开展1个部门整体支出部门评价，涉及财政性资金3,869.39万元。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十九、公共安全支出(类)检察(款)行政运行(项)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二十、公共安全支出(类)检察(款)一般行政管理事务(项)</w:t>
      </w:r>
      <w:r>
        <w:rPr>
          <w:b w:val="on"/>
          <w:rFonts w:ascii="仿宋" w:eastAsia="仿宋" w:hAnsi="仿宋" w:cs="仿宋"/>
          <w:u w:color="auto"/>
        </w:rPr>
        <w:t>：</w:t>
      </w:r>
      <w:r>
        <w:rPr>
          <w:rFonts w:hint="eastAsia" w:ascii="仿宋" w:hAnsi="仿宋" w:eastAsia="仿宋" w:cs="仿宋"/>
        </w:rPr>
        <w:t>反映行政单位（包括实行公务员管理的事业单位）未单独设置项级科目的其他项目支出。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二十一、公共安全支出(类)检察(款)检察监督(项)</w:t>
      </w:r>
      <w:r>
        <w:rPr>
          <w:b w:val="on"/>
          <w:rFonts w:ascii="仿宋" w:eastAsia="仿宋" w:hAnsi="仿宋" w:cs="仿宋"/>
          <w:u w:color="auto"/>
        </w:rPr>
        <w:t>：</w:t>
      </w:r>
      <w:r>
        <w:rPr>
          <w:rFonts w:hint="eastAsia" w:ascii="仿宋" w:hAnsi="仿宋" w:eastAsia="仿宋" w:cs="仿宋"/>
        </w:rPr>
        <w:t>反映检察机关依法开展法律监督工作的支出，包括侦察监督、公诉、审判监督、执行监督、民事行政监督、公益诉讼、控告申诉等。</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二十二、公共安全支出(类)检察(款)其他检察支出(项)</w:t>
      </w:r>
      <w:r>
        <w:rPr>
          <w:b w:val="on"/>
          <w:rFonts w:ascii="仿宋" w:eastAsia="仿宋" w:hAnsi="仿宋" w:cs="仿宋"/>
          <w:u w:color="auto"/>
        </w:rPr>
        <w:t>：</w:t>
      </w:r>
      <w:r>
        <w:rPr>
          <w:rFonts w:hint="eastAsia" w:ascii="仿宋" w:hAnsi="仿宋" w:eastAsia="仿宋" w:cs="仿宋"/>
        </w:rPr>
        <w:t>反映除上述项目以外其他用于检察方面的支出。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二十三、社会保障和就业支出(类)行政事业单位养老支出(款)行政单位离退休(项)</w:t>
      </w:r>
      <w:r>
        <w:rPr>
          <w:b w:val="on"/>
          <w:rFonts w:ascii="仿宋" w:eastAsia="仿宋" w:hAnsi="仿宋" w:cs="仿宋"/>
          <w:u w:color="auto"/>
        </w:rPr>
        <w:t>：</w:t>
      </w:r>
      <w:r>
        <w:rPr>
          <w:rFonts w:hint="eastAsia" w:ascii="仿宋" w:hAnsi="仿宋" w:eastAsia="仿宋" w:cs="仿宋"/>
        </w:rPr>
        <w:t>反映行政单位（包括实行公务员管理的事业单位）开支的离退休经费。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二十六、社会保障和就业支出(类)残疾人事业(款)其他残疾人事业支出(项)</w:t>
      </w:r>
      <w:r>
        <w:rPr>
          <w:b w:val="on"/>
          <w:rFonts w:ascii="仿宋" w:eastAsia="仿宋" w:hAnsi="仿宋" w:cs="仿宋"/>
          <w:u w:color="auto"/>
        </w:rPr>
        <w:t>：</w:t>
      </w:r>
      <w:r>
        <w:rPr>
          <w:rFonts w:hint="eastAsia" w:ascii="仿宋" w:hAnsi="仿宋" w:eastAsia="仿宋" w:cs="仿宋"/>
        </w:rPr>
        <w:t>反映除上述项目以外其他用于残疾人事业方面的支出。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海安市人民检察院</w:t>
    </w:r>
    <w:r>
      <w:rPr>
        <w:rFonts w:hint="eastAsia"/>
        <w:lang w:val="en-US" w:eastAsia="zh-CN"/>
      </w:rPr>
      <w:t>2024</w:t>
    </w:r>
    <w:r>
      <w:rPr>
        <w:rFonts w:hint="eastAsia"/>
        <w:lang w:val="en-US"/>
        <w:u/>
      </w:rPr>
      <w:t>年度</w:t>
    </w:r>
    <w:r>
      <w:rPr>
        <w:u w:color="auto"/>
      </w:rPr>
      <w:t>部门</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