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pPr>
    </w:p>
    <w:p>
      <w:pPr>
        <w:ind w:firstLine="0"/>
      </w:pPr>
    </w:p>
    <w:p>
      <w:pPr>
        <w:ind w:firstLine="0"/>
      </w:pPr>
    </w:p>
    <w:p>
      <w:pPr>
        <w:ind w:firstLine="0"/>
      </w:pPr>
    </w:p>
    <w:p>
      <w:pPr>
        <w:ind w:firstLine="0"/>
      </w:pPr>
    </w:p>
    <w:p>
      <w:pPr>
        <w:ind w:firstLine="0"/>
      </w:pPr>
    </w:p>
    <w:p>
      <w:pPr>
        <w:ind w:firstLine="0"/>
      </w:pPr>
    </w:p>
    <w:p>
      <w:pPr>
        <w:spacing w:line="580" w:lineRule="exact"/>
        <w:jc w:val="center"/>
        <w:rPr>
          <w:rFonts w:eastAsia="方正小标宋_GBK"/>
          <w:sz w:val="52"/>
          <w:szCs w:val="52"/>
        </w:rPr>
      </w:pPr>
      <w:r>
        <w:rPr>
          <w:rFonts w:hint="eastAsia" w:eastAsia="方正小标宋_GBK" w:cs="方正小标宋_GBK"/>
          <w:sz w:val="52"/>
          <w:szCs w:val="52"/>
        </w:rPr>
        <w:t>海安市人民检察院</w:t>
      </w:r>
    </w:p>
    <w:p>
      <w:pPr>
        <w:spacing w:line="580" w:lineRule="exact"/>
        <w:jc w:val="center"/>
        <w:rPr>
          <w:rFonts w:eastAsia="方正小标宋_GBK"/>
          <w:sz w:val="44"/>
          <w:szCs w:val="44"/>
        </w:rPr>
      </w:pPr>
      <w:r>
        <w:rPr>
          <w:rFonts w:eastAsia="方正小标宋_GBK"/>
          <w:sz w:val="52"/>
          <w:szCs w:val="52"/>
        </w:rPr>
        <w:t>2017</w:t>
      </w:r>
      <w:r>
        <w:rPr>
          <w:rFonts w:hint="eastAsia" w:eastAsia="方正小标宋_GBK" w:cs="方正小标宋_GBK"/>
          <w:sz w:val="52"/>
          <w:szCs w:val="52"/>
        </w:rPr>
        <w:t>年度部门决算公开</w:t>
      </w:r>
    </w:p>
    <w:p>
      <w:pPr>
        <w:ind w:firstLine="0"/>
      </w:pPr>
    </w:p>
    <w:p>
      <w:pPr>
        <w:ind w:firstLine="0"/>
      </w:pPr>
    </w:p>
    <w:p>
      <w:pPr>
        <w:spacing w:line="550" w:lineRule="exact"/>
        <w:ind w:firstLine="3504" w:firstLineChars="1095"/>
        <w:rPr>
          <w:rFonts w:ascii="宋体" w:hAnsi="宋体" w:eastAsia="宋体"/>
          <w:b/>
          <w:bCs/>
          <w:sz w:val="44"/>
          <w:szCs w:val="44"/>
        </w:rPr>
      </w:pPr>
      <w:r>
        <w:br w:type="page"/>
      </w:r>
      <w:r>
        <w:rPr>
          <w:rFonts w:hint="eastAsia" w:ascii="宋体" w:hAnsi="宋体" w:eastAsia="宋体" w:cs="宋体"/>
          <w:b/>
          <w:bCs/>
          <w:sz w:val="44"/>
          <w:szCs w:val="44"/>
        </w:rPr>
        <w:t>目</w:t>
      </w:r>
      <w:r>
        <w:rPr>
          <w:rFonts w:ascii="宋体" w:hAnsi="宋体" w:eastAsia="宋体" w:cs="宋体"/>
          <w:b/>
          <w:bCs/>
          <w:sz w:val="44"/>
          <w:szCs w:val="44"/>
        </w:rPr>
        <w:t xml:space="preserve">  </w:t>
      </w:r>
      <w:r>
        <w:rPr>
          <w:rFonts w:hint="eastAsia" w:ascii="宋体" w:hAnsi="宋体" w:eastAsia="宋体" w:cs="宋体"/>
          <w:b/>
          <w:bCs/>
          <w:sz w:val="44"/>
          <w:szCs w:val="44"/>
        </w:rPr>
        <w:t>录</w:t>
      </w:r>
    </w:p>
    <w:p>
      <w:pPr>
        <w:spacing w:line="550" w:lineRule="exact"/>
        <w:jc w:val="center"/>
        <w:rPr>
          <w:rFonts w:eastAsia="方正小标宋_GBK"/>
          <w:sz w:val="44"/>
          <w:szCs w:val="44"/>
        </w:rPr>
      </w:pPr>
    </w:p>
    <w:p>
      <w:pPr>
        <w:spacing w:line="550" w:lineRule="exact"/>
        <w:ind w:firstLine="0"/>
        <w:rPr>
          <w:rFonts w:eastAsia="方正黑体_GBK"/>
        </w:rPr>
      </w:pPr>
      <w:r>
        <w:rPr>
          <w:rFonts w:hint="eastAsia" w:ascii="宋体" w:hAnsi="宋体" w:eastAsia="宋体" w:cs="宋体"/>
          <w:b/>
          <w:bCs/>
        </w:rPr>
        <w:t>第一部分</w:t>
      </w:r>
      <w:r>
        <w:rPr>
          <w:rFonts w:ascii="宋体" w:hAnsi="宋体" w:eastAsia="宋体" w:cs="宋体"/>
          <w:b/>
          <w:bCs/>
        </w:rPr>
        <w:t xml:space="preserve"> </w:t>
      </w:r>
      <w:r>
        <w:rPr>
          <w:rFonts w:hint="eastAsia" w:ascii="宋体" w:hAnsi="宋体" w:eastAsia="宋体" w:cs="宋体"/>
          <w:b/>
          <w:bCs/>
        </w:rPr>
        <w:t>部门概况</w:t>
      </w:r>
    </w:p>
    <w:p>
      <w:pPr>
        <w:numPr>
          <w:ilvl w:val="0"/>
          <w:numId w:val="1"/>
        </w:numPr>
        <w:spacing w:line="550" w:lineRule="exact"/>
        <w:rPr>
          <w:rFonts w:ascii="宋体" w:hAnsi="宋体" w:eastAsia="宋体"/>
        </w:rPr>
      </w:pPr>
      <w:r>
        <w:rPr>
          <w:rFonts w:hint="eastAsia" w:ascii="宋体" w:hAnsi="宋体" w:eastAsia="宋体" w:cs="宋体"/>
        </w:rPr>
        <w:t>主要职能</w:t>
      </w:r>
    </w:p>
    <w:p>
      <w:pPr>
        <w:autoSpaceDE/>
        <w:autoSpaceDN/>
        <w:snapToGrid/>
        <w:spacing w:line="550" w:lineRule="exact"/>
        <w:ind w:firstLine="0"/>
        <w:rPr>
          <w:rFonts w:ascii="宋体" w:hAnsi="宋体" w:eastAsia="宋体"/>
        </w:rPr>
      </w:pPr>
      <w:r>
        <w:rPr>
          <w:rFonts w:hint="eastAsia" w:ascii="宋体" w:hAnsi="宋体" w:eastAsia="宋体" w:cs="宋体"/>
        </w:rPr>
        <w:t>二、部门机构设置及决算单位构成情况</w:t>
      </w:r>
    </w:p>
    <w:p>
      <w:pPr>
        <w:autoSpaceDE/>
        <w:autoSpaceDN/>
        <w:snapToGrid/>
        <w:spacing w:line="550" w:lineRule="exact"/>
        <w:ind w:firstLine="0"/>
        <w:rPr>
          <w:rFonts w:ascii="宋体" w:hAnsi="宋体" w:eastAsia="宋体"/>
        </w:rPr>
      </w:pPr>
      <w:r>
        <w:rPr>
          <w:rFonts w:hint="eastAsia" w:ascii="宋体" w:hAnsi="宋体" w:eastAsia="宋体" w:cs="宋体"/>
        </w:rPr>
        <w:t>三、</w:t>
      </w:r>
      <w:r>
        <w:rPr>
          <w:rFonts w:ascii="宋体" w:hAnsi="宋体" w:eastAsia="宋体" w:cs="宋体"/>
        </w:rPr>
        <w:t>2017</w:t>
      </w:r>
      <w:r>
        <w:rPr>
          <w:rFonts w:hint="eastAsia" w:ascii="宋体" w:hAnsi="宋体" w:eastAsia="宋体" w:cs="宋体"/>
        </w:rPr>
        <w:t>年度主要工作完成情况</w:t>
      </w:r>
    </w:p>
    <w:p>
      <w:pPr>
        <w:spacing w:line="550" w:lineRule="exact"/>
        <w:ind w:firstLine="0"/>
        <w:rPr>
          <w:rFonts w:ascii="宋体" w:hAnsi="宋体" w:eastAsia="宋体"/>
          <w:b/>
          <w:bCs/>
        </w:rPr>
      </w:pPr>
      <w:r>
        <w:rPr>
          <w:rFonts w:hint="eastAsia" w:ascii="宋体" w:hAnsi="宋体" w:eastAsia="宋体" w:cs="宋体"/>
          <w:b/>
          <w:bCs/>
        </w:rPr>
        <w:t>第二部分</w:t>
      </w:r>
      <w:r>
        <w:rPr>
          <w:rFonts w:ascii="宋体" w:hAnsi="宋体" w:eastAsia="宋体" w:cs="宋体"/>
          <w:b/>
          <w:bCs/>
        </w:rPr>
        <w:t xml:space="preserve"> 2017</w:t>
      </w:r>
      <w:r>
        <w:rPr>
          <w:rFonts w:hint="eastAsia" w:ascii="宋体" w:hAnsi="宋体" w:eastAsia="宋体" w:cs="宋体"/>
          <w:b/>
          <w:bCs/>
        </w:rPr>
        <w:t>年度部门决算表</w:t>
      </w:r>
    </w:p>
    <w:p>
      <w:pPr>
        <w:autoSpaceDE/>
        <w:autoSpaceDN/>
        <w:snapToGrid/>
        <w:spacing w:line="550" w:lineRule="exact"/>
        <w:ind w:firstLine="0"/>
        <w:rPr>
          <w:rFonts w:ascii="宋体" w:hAnsi="宋体" w:eastAsia="宋体"/>
        </w:rPr>
      </w:pPr>
      <w:r>
        <w:rPr>
          <w:rFonts w:hint="eastAsia" w:ascii="宋体" w:hAnsi="宋体" w:eastAsia="宋体" w:cs="宋体"/>
        </w:rPr>
        <w:t>一、收入支出决算总表</w:t>
      </w:r>
    </w:p>
    <w:p>
      <w:pPr>
        <w:numPr>
          <w:ilvl w:val="0"/>
          <w:numId w:val="1"/>
        </w:numPr>
        <w:autoSpaceDE/>
        <w:autoSpaceDN/>
        <w:snapToGrid/>
        <w:spacing w:line="550" w:lineRule="exact"/>
        <w:rPr>
          <w:rFonts w:ascii="宋体" w:hAnsi="宋体" w:eastAsia="宋体"/>
        </w:rPr>
      </w:pPr>
      <w:r>
        <w:rPr>
          <w:rFonts w:hint="eastAsia" w:ascii="宋体" w:hAnsi="宋体" w:eastAsia="宋体" w:cs="宋体"/>
        </w:rPr>
        <w:t>收入决算表</w:t>
      </w:r>
    </w:p>
    <w:p>
      <w:pPr>
        <w:autoSpaceDE/>
        <w:autoSpaceDN/>
        <w:snapToGrid/>
        <w:spacing w:line="550" w:lineRule="exact"/>
        <w:ind w:firstLine="0"/>
        <w:rPr>
          <w:rFonts w:ascii="宋体" w:hAnsi="宋体" w:eastAsia="宋体"/>
        </w:rPr>
      </w:pPr>
      <w:r>
        <w:rPr>
          <w:rFonts w:hint="eastAsia" w:ascii="宋体" w:hAnsi="宋体" w:eastAsia="宋体" w:cs="宋体"/>
        </w:rPr>
        <w:t>三、支出决算表</w:t>
      </w:r>
    </w:p>
    <w:p>
      <w:pPr>
        <w:autoSpaceDE/>
        <w:autoSpaceDN/>
        <w:snapToGrid/>
        <w:spacing w:line="550" w:lineRule="exact"/>
        <w:ind w:firstLine="0"/>
        <w:rPr>
          <w:rFonts w:ascii="宋体" w:hAnsi="宋体" w:eastAsia="宋体"/>
        </w:rPr>
      </w:pPr>
      <w:r>
        <w:rPr>
          <w:rFonts w:hint="eastAsia" w:ascii="宋体" w:hAnsi="宋体" w:eastAsia="宋体" w:cs="宋体"/>
        </w:rPr>
        <w:t>四、财政拨款收入支出决算总表</w:t>
      </w:r>
    </w:p>
    <w:p>
      <w:pPr>
        <w:numPr>
          <w:ilvl w:val="0"/>
          <w:numId w:val="2"/>
        </w:numPr>
        <w:autoSpaceDE/>
        <w:autoSpaceDN/>
        <w:snapToGrid/>
        <w:spacing w:line="550" w:lineRule="exact"/>
        <w:rPr>
          <w:rFonts w:ascii="宋体" w:hAnsi="宋体" w:eastAsia="宋体"/>
        </w:rPr>
      </w:pPr>
      <w:r>
        <w:rPr>
          <w:rFonts w:hint="eastAsia" w:ascii="宋体" w:hAnsi="宋体" w:eastAsia="宋体" w:cs="宋体"/>
        </w:rPr>
        <w:t>财政拨款支出决算表</w:t>
      </w:r>
    </w:p>
    <w:p>
      <w:pPr>
        <w:autoSpaceDE/>
        <w:autoSpaceDN/>
        <w:snapToGrid/>
        <w:spacing w:line="550" w:lineRule="exact"/>
        <w:ind w:firstLine="0"/>
        <w:rPr>
          <w:rFonts w:ascii="宋体" w:hAnsi="宋体" w:eastAsia="宋体"/>
        </w:rPr>
      </w:pPr>
      <w:r>
        <w:rPr>
          <w:rFonts w:hint="eastAsia" w:ascii="宋体" w:hAnsi="宋体" w:eastAsia="宋体" w:cs="宋体"/>
        </w:rPr>
        <w:t>六、财政拨款基本支出决算表</w:t>
      </w:r>
    </w:p>
    <w:p>
      <w:pPr>
        <w:autoSpaceDE/>
        <w:autoSpaceDN/>
        <w:snapToGrid/>
        <w:spacing w:line="550" w:lineRule="exact"/>
        <w:ind w:firstLine="0"/>
        <w:rPr>
          <w:rFonts w:ascii="宋体" w:hAnsi="宋体" w:eastAsia="宋体"/>
        </w:rPr>
      </w:pPr>
      <w:r>
        <w:rPr>
          <w:rFonts w:hint="eastAsia" w:ascii="宋体" w:hAnsi="宋体" w:eastAsia="宋体" w:cs="宋体"/>
        </w:rPr>
        <w:t>七、一般公共预算财政拨款支出决算表</w:t>
      </w:r>
    </w:p>
    <w:p>
      <w:pPr>
        <w:autoSpaceDE/>
        <w:autoSpaceDN/>
        <w:snapToGrid/>
        <w:spacing w:line="550" w:lineRule="exact"/>
        <w:ind w:firstLine="0"/>
        <w:rPr>
          <w:rFonts w:ascii="宋体" w:hAnsi="宋体" w:eastAsia="宋体"/>
        </w:rPr>
      </w:pPr>
      <w:r>
        <w:rPr>
          <w:rFonts w:hint="eastAsia" w:ascii="宋体" w:hAnsi="宋体" w:eastAsia="宋体" w:cs="宋体"/>
        </w:rPr>
        <w:t>八、一般公共预算财政拨款基本支出决算表</w:t>
      </w:r>
    </w:p>
    <w:p>
      <w:pPr>
        <w:autoSpaceDE/>
        <w:autoSpaceDN/>
        <w:snapToGrid/>
        <w:spacing w:line="550" w:lineRule="exact"/>
        <w:ind w:left="31680" w:hanging="640" w:hangingChars="200"/>
        <w:rPr>
          <w:rFonts w:ascii="宋体" w:hAnsi="宋体" w:eastAsia="宋体"/>
        </w:rPr>
      </w:pPr>
      <w:r>
        <w:rPr>
          <w:rFonts w:hint="eastAsia" w:ascii="宋体" w:hAnsi="宋体" w:eastAsia="宋体" w:cs="宋体"/>
        </w:rPr>
        <w:t>九、一般公共预算财政拨款“三公”经费、会议费、培训费支出决算表</w:t>
      </w:r>
    </w:p>
    <w:p>
      <w:pPr>
        <w:numPr>
          <w:ilvl w:val="0"/>
          <w:numId w:val="3"/>
        </w:numPr>
        <w:autoSpaceDE/>
        <w:autoSpaceDN/>
        <w:snapToGrid/>
        <w:spacing w:line="550" w:lineRule="exact"/>
        <w:rPr>
          <w:rFonts w:ascii="宋体" w:hAnsi="宋体" w:eastAsia="宋体"/>
        </w:rPr>
      </w:pPr>
      <w:r>
        <w:rPr>
          <w:rFonts w:hint="eastAsia" w:ascii="宋体" w:hAnsi="宋体" w:eastAsia="宋体" w:cs="宋体"/>
        </w:rPr>
        <w:t>政府性基金预算财政拨款收入支出决算表</w:t>
      </w:r>
    </w:p>
    <w:p>
      <w:pPr>
        <w:autoSpaceDE/>
        <w:autoSpaceDN/>
        <w:snapToGrid/>
        <w:spacing w:line="550" w:lineRule="exact"/>
        <w:ind w:firstLine="0"/>
        <w:rPr>
          <w:rFonts w:ascii="宋体" w:hAnsi="宋体" w:eastAsia="宋体"/>
        </w:rPr>
      </w:pPr>
      <w:r>
        <w:rPr>
          <w:rFonts w:hint="eastAsia" w:ascii="宋体" w:hAnsi="宋体" w:eastAsia="宋体" w:cs="宋体"/>
        </w:rPr>
        <w:t>十一、机关运行经费支出决算表</w:t>
      </w:r>
    </w:p>
    <w:p>
      <w:pPr>
        <w:autoSpaceDE/>
        <w:autoSpaceDN/>
        <w:snapToGrid/>
        <w:spacing w:line="550" w:lineRule="exact"/>
        <w:ind w:firstLine="0"/>
        <w:rPr>
          <w:rFonts w:ascii="宋体" w:hAnsi="宋体" w:eastAsia="宋体"/>
        </w:rPr>
      </w:pPr>
      <w:r>
        <w:rPr>
          <w:rFonts w:hint="eastAsia" w:ascii="宋体" w:hAnsi="宋体" w:eastAsia="宋体" w:cs="宋体"/>
        </w:rPr>
        <w:t>十二、政府采购支出决算表</w:t>
      </w:r>
    </w:p>
    <w:p>
      <w:pPr>
        <w:spacing w:line="550" w:lineRule="exact"/>
        <w:ind w:firstLine="0"/>
        <w:rPr>
          <w:rFonts w:ascii="宋体" w:hAnsi="宋体" w:eastAsia="宋体"/>
          <w:b/>
          <w:bCs/>
        </w:rPr>
      </w:pPr>
      <w:r>
        <w:rPr>
          <w:rFonts w:hint="eastAsia" w:ascii="宋体" w:hAnsi="宋体" w:eastAsia="宋体" w:cs="宋体"/>
          <w:b/>
          <w:bCs/>
        </w:rPr>
        <w:t>第三部分</w:t>
      </w:r>
      <w:r>
        <w:rPr>
          <w:rFonts w:ascii="宋体" w:hAnsi="宋体" w:eastAsia="宋体" w:cs="宋体"/>
          <w:b/>
          <w:bCs/>
        </w:rPr>
        <w:t xml:space="preserve"> 2017</w:t>
      </w:r>
      <w:r>
        <w:rPr>
          <w:rFonts w:hint="eastAsia" w:ascii="宋体" w:hAnsi="宋体" w:eastAsia="宋体" w:cs="宋体"/>
          <w:b/>
          <w:bCs/>
        </w:rPr>
        <w:t>年度部门决算情况说明</w:t>
      </w:r>
    </w:p>
    <w:p>
      <w:pPr>
        <w:spacing w:line="550" w:lineRule="exact"/>
        <w:ind w:firstLine="0"/>
        <w:rPr>
          <w:rFonts w:ascii="宋体" w:hAnsi="宋体" w:eastAsia="宋体"/>
          <w:b/>
          <w:bCs/>
        </w:rPr>
      </w:pPr>
      <w:r>
        <w:rPr>
          <w:rFonts w:hint="eastAsia" w:ascii="宋体" w:hAnsi="宋体" w:eastAsia="宋体" w:cs="宋体"/>
          <w:b/>
          <w:bCs/>
        </w:rPr>
        <w:t>第四部分</w:t>
      </w:r>
      <w:r>
        <w:rPr>
          <w:rFonts w:ascii="宋体" w:hAnsi="宋体" w:eastAsia="宋体" w:cs="宋体"/>
          <w:b/>
          <w:bCs/>
        </w:rPr>
        <w:t xml:space="preserve"> </w:t>
      </w:r>
      <w:r>
        <w:rPr>
          <w:rFonts w:hint="eastAsia" w:ascii="宋体" w:hAnsi="宋体" w:eastAsia="宋体" w:cs="宋体"/>
          <w:b/>
          <w:bCs/>
        </w:rPr>
        <w:t>名词解释</w:t>
      </w:r>
    </w:p>
    <w:p>
      <w:pPr>
        <w:spacing w:before="100" w:beforeAutospacing="1" w:after="100" w:afterAutospacing="1" w:line="550" w:lineRule="exact"/>
        <w:ind w:firstLine="2242" w:firstLineChars="623"/>
        <w:rPr>
          <w:rFonts w:ascii="宋体" w:hAnsi="宋体" w:eastAsia="宋体"/>
          <w:b/>
          <w:bCs/>
          <w:sz w:val="36"/>
          <w:szCs w:val="36"/>
        </w:rPr>
      </w:pPr>
      <w:r>
        <w:rPr>
          <w:rFonts w:eastAsia="方正小标宋_GBK"/>
          <w:sz w:val="36"/>
          <w:szCs w:val="36"/>
        </w:rPr>
        <w:br w:type="page"/>
      </w:r>
      <w:r>
        <w:rPr>
          <w:rFonts w:hint="eastAsia" w:ascii="宋体" w:hAnsi="宋体" w:eastAsia="宋体" w:cs="宋体"/>
          <w:b/>
          <w:bCs/>
          <w:sz w:val="36"/>
          <w:szCs w:val="36"/>
        </w:rPr>
        <w:t>第一部分　部门概况</w:t>
      </w:r>
    </w:p>
    <w:p>
      <w:pPr>
        <w:spacing w:line="550" w:lineRule="exact"/>
        <w:ind w:firstLine="643" w:firstLineChars="200"/>
        <w:rPr>
          <w:rFonts w:ascii="宋体" w:hAnsi="宋体" w:eastAsia="宋体"/>
          <w:b/>
          <w:bCs/>
        </w:rPr>
      </w:pPr>
      <w:r>
        <w:rPr>
          <w:rFonts w:hint="eastAsia" w:ascii="宋体" w:hAnsi="宋体" w:eastAsia="宋体" w:cs="宋体"/>
          <w:b/>
          <w:bCs/>
        </w:rPr>
        <w:t>一、部门主要职能</w:t>
      </w:r>
    </w:p>
    <w:p>
      <w:pPr>
        <w:adjustRightInd w:val="0"/>
        <w:spacing w:line="600" w:lineRule="exact"/>
        <w:ind w:firstLine="640" w:firstLineChars="200"/>
        <w:rPr>
          <w:rFonts w:ascii="宋体" w:hAnsi="宋体" w:eastAsia="宋体"/>
        </w:rPr>
      </w:pPr>
      <w:r>
        <w:rPr>
          <w:rFonts w:hint="eastAsia" w:ascii="宋体" w:hAnsi="宋体" w:eastAsia="宋体" w:cs="宋体"/>
        </w:rPr>
        <w:t>人民检察院是国家的法律监督机关。人民检察院依法独立行使检察权，不受行政机关、社会团体和个人的干涉。</w:t>
      </w:r>
    </w:p>
    <w:p>
      <w:pPr>
        <w:adjustRightInd w:val="0"/>
        <w:spacing w:line="600" w:lineRule="exact"/>
        <w:ind w:firstLine="600"/>
        <w:rPr>
          <w:rFonts w:ascii="宋体" w:hAnsi="宋体" w:eastAsia="宋体"/>
        </w:rPr>
      </w:pPr>
      <w:r>
        <w:rPr>
          <w:rFonts w:hint="eastAsia" w:ascii="宋体" w:hAnsi="宋体" w:eastAsia="宋体" w:cs="宋体"/>
        </w:rPr>
        <w:t>人民检察院的职权：</w:t>
      </w:r>
    </w:p>
    <w:p>
      <w:pPr>
        <w:widowControl/>
        <w:spacing w:line="600" w:lineRule="exact"/>
        <w:ind w:firstLine="640" w:firstLineChars="200"/>
        <w:jc w:val="left"/>
        <w:rPr>
          <w:rFonts w:ascii="宋体" w:hAnsi="宋体" w:eastAsia="宋体"/>
        </w:rPr>
      </w:pPr>
      <w:r>
        <w:rPr>
          <w:rFonts w:ascii="宋体" w:hAnsi="宋体" w:eastAsia="宋体" w:cs="宋体"/>
        </w:rPr>
        <w:t>1</w:t>
      </w:r>
      <w:r>
        <w:rPr>
          <w:rFonts w:hint="eastAsia" w:ascii="宋体" w:hAnsi="宋体" w:eastAsia="宋体" w:cs="宋体"/>
        </w:rPr>
        <w:t>、对于叛国案、分裂国家案以及严重破坏国家的政策、法律、政令统一实施的重大犯罪案件，行使检察权。</w:t>
      </w:r>
    </w:p>
    <w:p>
      <w:pPr>
        <w:widowControl/>
        <w:spacing w:line="600" w:lineRule="exact"/>
        <w:jc w:val="left"/>
        <w:rPr>
          <w:rFonts w:ascii="宋体" w:hAnsi="宋体" w:eastAsia="宋体"/>
        </w:rPr>
      </w:pPr>
      <w:r>
        <w:rPr>
          <w:rFonts w:ascii="宋体" w:hAnsi="宋体" w:eastAsia="宋体" w:cs="宋体"/>
        </w:rPr>
        <w:t>2</w:t>
      </w:r>
      <w:r>
        <w:rPr>
          <w:rFonts w:hint="eastAsia" w:ascii="宋体" w:hAnsi="宋体" w:eastAsia="宋体" w:cs="宋体"/>
        </w:rPr>
        <w:t>、对于直接受理的国家工作人员利用职权实施的犯罪案件，进行侦查。</w:t>
      </w:r>
    </w:p>
    <w:p>
      <w:pPr>
        <w:widowControl/>
        <w:spacing w:line="600" w:lineRule="exact"/>
        <w:ind w:firstLine="600"/>
        <w:jc w:val="left"/>
        <w:rPr>
          <w:rFonts w:ascii="宋体" w:hAnsi="宋体" w:eastAsia="宋体"/>
        </w:rPr>
      </w:pPr>
      <w:r>
        <w:rPr>
          <w:rFonts w:ascii="宋体" w:hAnsi="宋体" w:eastAsia="宋体" w:cs="宋体"/>
        </w:rPr>
        <w:t>3</w:t>
      </w:r>
      <w:r>
        <w:rPr>
          <w:rFonts w:hint="eastAsia" w:ascii="宋体" w:hAnsi="宋体" w:eastAsia="宋体" w:cs="宋体"/>
        </w:rPr>
        <w:t>、对于公安机关、国家安全机关等侦查机关侦查的案件进行审查，决定是否逮捕、起诉或者不起诉。并对侦查机关的立案、侦查活动是否合法实行监督。</w:t>
      </w:r>
    </w:p>
    <w:p>
      <w:pPr>
        <w:widowControl/>
        <w:spacing w:line="600" w:lineRule="exact"/>
        <w:ind w:firstLine="601"/>
        <w:jc w:val="left"/>
        <w:rPr>
          <w:rFonts w:ascii="宋体" w:hAnsi="宋体" w:eastAsia="宋体"/>
        </w:rPr>
      </w:pPr>
      <w:r>
        <w:rPr>
          <w:rFonts w:ascii="宋体" w:hAnsi="宋体" w:eastAsia="宋体" w:cs="宋体"/>
        </w:rPr>
        <w:t>4</w:t>
      </w:r>
      <w:r>
        <w:rPr>
          <w:rFonts w:hint="eastAsia" w:ascii="宋体" w:hAnsi="宋体" w:eastAsia="宋体" w:cs="宋体"/>
        </w:rPr>
        <w:t>、对于刑事案件提起公诉，支持公诉。对于人民法院的刑事判决、裁定是否正确和审判活动是否合法实行监督。</w:t>
      </w:r>
    </w:p>
    <w:p>
      <w:pPr>
        <w:widowControl/>
        <w:spacing w:line="600" w:lineRule="exact"/>
        <w:ind w:firstLine="601"/>
        <w:jc w:val="left"/>
        <w:rPr>
          <w:rFonts w:ascii="宋体" w:hAnsi="宋体" w:eastAsia="宋体"/>
        </w:rPr>
      </w:pPr>
      <w:r>
        <w:rPr>
          <w:rFonts w:ascii="宋体" w:hAnsi="宋体" w:eastAsia="宋体" w:cs="宋体"/>
        </w:rPr>
        <w:t>5</w:t>
      </w:r>
      <w:r>
        <w:rPr>
          <w:rFonts w:hint="eastAsia" w:ascii="宋体" w:hAnsi="宋体" w:eastAsia="宋体" w:cs="宋体"/>
        </w:rPr>
        <w:t>、对于监狱、看守所等执行机关执行刑罚的活动是否合法实行监督。</w:t>
      </w:r>
    </w:p>
    <w:p>
      <w:pPr>
        <w:widowControl/>
        <w:spacing w:line="600" w:lineRule="exact"/>
        <w:ind w:firstLine="601"/>
        <w:jc w:val="left"/>
        <w:rPr>
          <w:rFonts w:ascii="宋体" w:hAnsi="宋体" w:eastAsia="宋体"/>
        </w:rPr>
      </w:pPr>
      <w:r>
        <w:rPr>
          <w:rFonts w:ascii="宋体" w:hAnsi="宋体" w:eastAsia="宋体" w:cs="宋体"/>
        </w:rPr>
        <w:t>6</w:t>
      </w:r>
      <w:r>
        <w:rPr>
          <w:rFonts w:hint="eastAsia" w:ascii="宋体" w:hAnsi="宋体" w:eastAsia="宋体" w:cs="宋体"/>
        </w:rPr>
        <w:t>、对于人民法院的民事审判活动实行法律监督。对人民法院已经发生效力的判决、裁定，发现违反法律、法规规定的，依法提出抗诉。</w:t>
      </w:r>
    </w:p>
    <w:p>
      <w:pPr>
        <w:widowControl/>
        <w:spacing w:line="600" w:lineRule="exact"/>
        <w:ind w:firstLine="601"/>
        <w:jc w:val="left"/>
        <w:rPr>
          <w:rFonts w:ascii="宋体" w:hAnsi="宋体" w:eastAsia="宋体"/>
        </w:rPr>
      </w:pPr>
      <w:r>
        <w:rPr>
          <w:rFonts w:ascii="宋体" w:hAnsi="宋体" w:eastAsia="宋体" w:cs="宋体"/>
        </w:rPr>
        <w:t>7</w:t>
      </w:r>
      <w:r>
        <w:rPr>
          <w:rFonts w:hint="eastAsia" w:ascii="宋体" w:hAnsi="宋体" w:eastAsia="宋体" w:cs="宋体"/>
        </w:rPr>
        <w:t>、对于行政诉讼实行法律监督。对人民法院已经发生效力的判决、裁定，发现违反法律、法规规定的，依法提出抗诉。</w:t>
      </w:r>
    </w:p>
    <w:p>
      <w:pPr>
        <w:spacing w:line="550" w:lineRule="exact"/>
        <w:ind w:firstLine="643" w:firstLineChars="200"/>
        <w:rPr>
          <w:rFonts w:ascii="宋体" w:hAnsi="宋体" w:eastAsia="宋体"/>
          <w:b/>
          <w:bCs/>
        </w:rPr>
      </w:pPr>
      <w:r>
        <w:rPr>
          <w:rFonts w:hint="eastAsia" w:ascii="宋体" w:hAnsi="宋体" w:eastAsia="宋体" w:cs="宋体"/>
          <w:b/>
          <w:bCs/>
        </w:rPr>
        <w:t>二、部门机构设置及决算单位构成情况</w:t>
      </w:r>
    </w:p>
    <w:p>
      <w:pPr>
        <w:adjustRightInd w:val="0"/>
        <w:spacing w:line="600" w:lineRule="exact"/>
        <w:ind w:firstLine="640" w:firstLineChars="200"/>
        <w:rPr>
          <w:rFonts w:ascii="宋体" w:hAnsi="宋体" w:eastAsia="宋体"/>
        </w:rPr>
      </w:pPr>
      <w:r>
        <w:rPr>
          <w:rFonts w:ascii="宋体" w:hAnsi="宋体" w:eastAsia="宋体" w:cs="宋体"/>
        </w:rPr>
        <w:t xml:space="preserve">1. </w:t>
      </w:r>
      <w:r>
        <w:rPr>
          <w:rFonts w:hint="eastAsia" w:ascii="宋体" w:hAnsi="宋体" w:eastAsia="宋体" w:cs="宋体"/>
        </w:rPr>
        <w:t>根据部门职责分工，本部门内设机构包括：办公室、政治处、反贪污贿赂局、反渎职侵权局、侦查监督科、公诉科、监所检察科、案件管理科、控告申诉检察科、举报中心、民事行政检察科、职务犯罪预防科、检察技术科、纪检组、监察室、法警大队、驻曲塘镇检察室、驻李堡镇检察室、驻海安镇检察室。</w:t>
      </w:r>
    </w:p>
    <w:p>
      <w:pPr>
        <w:spacing w:line="550" w:lineRule="exact"/>
        <w:ind w:firstLine="640" w:firstLineChars="200"/>
        <w:rPr>
          <w:rFonts w:ascii="宋体" w:hAnsi="宋体" w:eastAsia="宋体"/>
        </w:rPr>
      </w:pPr>
      <w:r>
        <w:rPr>
          <w:rFonts w:hint="eastAsia" w:ascii="宋体" w:hAnsi="宋体" w:eastAsia="宋体" w:cs="宋体"/>
        </w:rPr>
        <w:t>本部门无下属单位。</w:t>
      </w:r>
    </w:p>
    <w:p>
      <w:pPr>
        <w:spacing w:line="550" w:lineRule="exact"/>
        <w:ind w:firstLine="640" w:firstLineChars="200"/>
        <w:rPr>
          <w:rFonts w:ascii="宋体" w:hAnsi="宋体" w:eastAsia="宋体"/>
          <w:spacing w:val="-8"/>
        </w:rPr>
      </w:pPr>
      <w:r>
        <w:rPr>
          <w:rFonts w:ascii="宋体" w:hAnsi="宋体" w:eastAsia="宋体" w:cs="宋体"/>
        </w:rPr>
        <w:t xml:space="preserve">2. </w:t>
      </w:r>
      <w:r>
        <w:rPr>
          <w:rFonts w:hint="eastAsia" w:ascii="宋体" w:hAnsi="宋体" w:eastAsia="宋体" w:cs="宋体"/>
        </w:rPr>
        <w:t>从决算单位构成看，纳入</w:t>
      </w:r>
      <w:r>
        <w:rPr>
          <w:rFonts w:hint="eastAsia" w:ascii="宋体" w:hAnsi="宋体" w:eastAsia="宋体" w:cs="宋体"/>
          <w:u w:val="single"/>
        </w:rPr>
        <w:t>海安市人民检察院</w:t>
      </w:r>
      <w:r>
        <w:rPr>
          <w:rFonts w:ascii="宋体" w:hAnsi="宋体" w:eastAsia="宋体" w:cs="宋体"/>
        </w:rPr>
        <w:t>2017</w:t>
      </w:r>
      <w:r>
        <w:rPr>
          <w:rFonts w:hint="eastAsia" w:ascii="宋体" w:hAnsi="宋体" w:eastAsia="宋体" w:cs="宋体"/>
        </w:rPr>
        <w:t>年部门汇总决算编制范围的预算单位共计</w:t>
      </w:r>
      <w:r>
        <w:rPr>
          <w:rFonts w:ascii="宋体" w:hAnsi="宋体" w:eastAsia="宋体" w:cs="宋体"/>
        </w:rPr>
        <w:t>1</w:t>
      </w:r>
      <w:r>
        <w:rPr>
          <w:rFonts w:hint="eastAsia" w:ascii="宋体" w:hAnsi="宋体" w:eastAsia="宋体" w:cs="宋体"/>
        </w:rPr>
        <w:t>家，为</w:t>
      </w:r>
      <w:r>
        <w:rPr>
          <w:rFonts w:ascii="宋体" w:hAnsi="宋体" w:eastAsia="宋体" w:cs="宋体"/>
          <w:u w:val="single"/>
        </w:rPr>
        <w:t xml:space="preserve"> </w:t>
      </w:r>
      <w:r>
        <w:rPr>
          <w:rFonts w:hint="eastAsia" w:ascii="宋体" w:hAnsi="宋体" w:eastAsia="宋体" w:cs="宋体"/>
          <w:u w:val="single"/>
        </w:rPr>
        <w:t>海安市人民检察院本级</w:t>
      </w:r>
      <w:r>
        <w:rPr>
          <w:rFonts w:hint="eastAsia" w:ascii="宋体" w:hAnsi="宋体" w:eastAsia="宋体" w:cs="宋体"/>
          <w:spacing w:val="-8"/>
        </w:rPr>
        <w:t>。</w:t>
      </w:r>
    </w:p>
    <w:p>
      <w:pPr>
        <w:spacing w:line="550" w:lineRule="exact"/>
        <w:ind w:firstLine="643" w:firstLineChars="200"/>
        <w:rPr>
          <w:rFonts w:ascii="宋体" w:hAnsi="宋体" w:eastAsia="宋体"/>
          <w:b/>
          <w:bCs/>
        </w:rPr>
      </w:pPr>
      <w:r>
        <w:rPr>
          <w:rFonts w:hint="eastAsia" w:ascii="宋体" w:hAnsi="宋体" w:eastAsia="宋体" w:cs="宋体"/>
          <w:b/>
          <w:bCs/>
        </w:rPr>
        <w:t>三、</w:t>
      </w:r>
      <w:r>
        <w:rPr>
          <w:rFonts w:ascii="宋体" w:hAnsi="宋体" w:eastAsia="宋体" w:cs="宋体"/>
          <w:b/>
          <w:bCs/>
        </w:rPr>
        <w:t>2017</w:t>
      </w:r>
      <w:r>
        <w:rPr>
          <w:rFonts w:hint="eastAsia" w:ascii="宋体" w:hAnsi="宋体" w:eastAsia="宋体" w:cs="宋体"/>
          <w:b/>
          <w:bCs/>
        </w:rPr>
        <w:t>年度主要工作完成情况</w:t>
      </w:r>
    </w:p>
    <w:p>
      <w:pPr>
        <w:spacing w:line="520" w:lineRule="exact"/>
        <w:ind w:firstLine="645"/>
        <w:rPr>
          <w:rFonts w:ascii="宋体" w:hAnsi="宋体" w:eastAsia="宋体"/>
        </w:rPr>
      </w:pPr>
      <w:r>
        <w:rPr>
          <w:rFonts w:ascii="宋体" w:hAnsi="宋体" w:eastAsia="宋体" w:cs="宋体"/>
        </w:rPr>
        <w:t>2017</w:t>
      </w:r>
      <w:r>
        <w:rPr>
          <w:rFonts w:hint="eastAsia" w:ascii="宋体" w:hAnsi="宋体" w:eastAsia="宋体" w:cs="宋体"/>
        </w:rPr>
        <w:t>年以来，我院在市委、市委政法委的正确领导下，紧紧围绕“争先、强基、法治”总要求，把维护社会安全稳定作为第一责任，高度重视风险挑战，积极服务经济社会发展，扎实开展平安建设、法治建设、检察队伍建设，各方面取得了新的进步。先后获得“全国检察宣传先进单位”“全国检察机关文明接待室”等</w:t>
      </w:r>
      <w:r>
        <w:rPr>
          <w:rFonts w:ascii="宋体" w:hAnsi="宋体" w:eastAsia="宋体" w:cs="宋体"/>
        </w:rPr>
        <w:t>38</w:t>
      </w:r>
      <w:r>
        <w:rPr>
          <w:rFonts w:hint="eastAsia" w:ascii="宋体" w:hAnsi="宋体" w:eastAsia="宋体" w:cs="宋体"/>
        </w:rPr>
        <w:t>项集体荣誉。连续</w:t>
      </w:r>
      <w:r>
        <w:rPr>
          <w:rFonts w:ascii="宋体" w:hAnsi="宋体" w:eastAsia="宋体" w:cs="宋体"/>
        </w:rPr>
        <w:t>13</w:t>
      </w:r>
      <w:r>
        <w:rPr>
          <w:rFonts w:hint="eastAsia" w:ascii="宋体" w:hAnsi="宋体" w:eastAsia="宋体" w:cs="宋体"/>
        </w:rPr>
        <w:t>年获评“全市先进检察院”，连续</w:t>
      </w:r>
      <w:r>
        <w:rPr>
          <w:rFonts w:ascii="宋体" w:hAnsi="宋体" w:eastAsia="宋体" w:cs="宋体"/>
        </w:rPr>
        <w:t>5</w:t>
      </w:r>
      <w:r>
        <w:rPr>
          <w:rFonts w:hint="eastAsia" w:ascii="宋体" w:hAnsi="宋体" w:eastAsia="宋体" w:cs="宋体"/>
        </w:rPr>
        <w:t>年获评“全县综合绩效考评优秀单位”</w:t>
      </w:r>
      <w:r>
        <w:rPr>
          <w:rFonts w:ascii="宋体" w:hAnsi="宋体" w:eastAsia="宋体" w:cs="宋体"/>
        </w:rPr>
        <w:t>, 19</w:t>
      </w:r>
      <w:r>
        <w:rPr>
          <w:rFonts w:hint="eastAsia" w:ascii="宋体" w:hAnsi="宋体" w:eastAsia="宋体" w:cs="宋体"/>
        </w:rPr>
        <w:t>人次获得市级以上表彰。</w:t>
      </w:r>
    </w:p>
    <w:p>
      <w:pPr>
        <w:spacing w:line="520" w:lineRule="exact"/>
        <w:ind w:firstLine="643" w:firstLineChars="200"/>
        <w:rPr>
          <w:rFonts w:ascii="宋体" w:hAnsi="宋体" w:eastAsia="宋体"/>
          <w:b/>
          <w:bCs/>
        </w:rPr>
      </w:pPr>
      <w:r>
        <w:rPr>
          <w:rFonts w:hint="eastAsia" w:ascii="宋体" w:hAnsi="宋体" w:eastAsia="宋体" w:cs="宋体"/>
          <w:b/>
          <w:bCs/>
        </w:rPr>
        <w:t>一、立足职能，主动服务，积极参与平安建设</w:t>
      </w:r>
    </w:p>
    <w:p>
      <w:pPr>
        <w:spacing w:line="520" w:lineRule="exact"/>
        <w:ind w:firstLine="627" w:firstLineChars="196"/>
        <w:rPr>
          <w:rFonts w:ascii="宋体" w:hAnsi="宋体" w:eastAsia="宋体"/>
        </w:rPr>
      </w:pPr>
      <w:r>
        <w:rPr>
          <w:rFonts w:hint="eastAsia" w:ascii="宋体" w:hAnsi="宋体" w:eastAsia="宋体" w:cs="宋体"/>
        </w:rPr>
        <w:t>一是维护社会安全稳定。促成轻微刑事案件和解</w:t>
      </w:r>
      <w:r>
        <w:rPr>
          <w:rFonts w:ascii="宋体" w:hAnsi="宋体" w:eastAsia="宋体" w:cs="宋体"/>
        </w:rPr>
        <w:t>58</w:t>
      </w:r>
      <w:r>
        <w:rPr>
          <w:rFonts w:hint="eastAsia" w:ascii="宋体" w:hAnsi="宋体" w:eastAsia="宋体" w:cs="宋体"/>
        </w:rPr>
        <w:t>件，发放救助金</w:t>
      </w:r>
      <w:r>
        <w:rPr>
          <w:rFonts w:ascii="宋体" w:hAnsi="宋体" w:eastAsia="宋体" w:cs="宋体"/>
        </w:rPr>
        <w:t>7.4</w:t>
      </w:r>
      <w:r>
        <w:rPr>
          <w:rFonts w:hint="eastAsia" w:ascii="宋体" w:hAnsi="宋体" w:eastAsia="宋体" w:cs="宋体"/>
        </w:rPr>
        <w:t>万元。组建专案组办理重大案件，办理了公安部挂牌督办的</w:t>
      </w:r>
      <w:r>
        <w:rPr>
          <w:rFonts w:ascii="宋体" w:hAnsi="宋体" w:eastAsia="宋体" w:cs="宋体"/>
        </w:rPr>
        <w:t>46</w:t>
      </w:r>
      <w:r>
        <w:rPr>
          <w:rFonts w:hint="eastAsia" w:ascii="宋体" w:hAnsi="宋体" w:eastAsia="宋体" w:cs="宋体"/>
        </w:rPr>
        <w:t>人电信诈骗案等重大案件，</w:t>
      </w:r>
      <w:r>
        <w:rPr>
          <w:rFonts w:ascii="宋体" w:hAnsi="宋体" w:eastAsia="宋体" w:cs="宋体"/>
        </w:rPr>
        <w:t>1</w:t>
      </w:r>
      <w:r>
        <w:rPr>
          <w:rFonts w:hint="eastAsia" w:ascii="宋体" w:hAnsi="宋体" w:eastAsia="宋体" w:cs="宋体"/>
        </w:rPr>
        <w:t>件案件入选最高检第九批指导性案例。积极开展风险研判，关于创业者违法犯罪情况调研报告被中央办公厅采用。加强未成年人司法保护，“检花春蕾班”被评为县优秀巾帼志愿服务组织。依法妥善处理各类信访</w:t>
      </w:r>
      <w:r>
        <w:rPr>
          <w:rFonts w:ascii="宋体" w:hAnsi="宋体" w:eastAsia="宋体" w:cs="宋体"/>
        </w:rPr>
        <w:t>198</w:t>
      </w:r>
      <w:r>
        <w:rPr>
          <w:rFonts w:hint="eastAsia" w:ascii="宋体" w:hAnsi="宋体" w:eastAsia="宋体" w:cs="宋体"/>
        </w:rPr>
        <w:t>件，未发生一起涉检赴省进京上访事件。</w:t>
      </w:r>
    </w:p>
    <w:p>
      <w:pPr>
        <w:spacing w:line="520" w:lineRule="exact"/>
        <w:ind w:firstLine="627" w:firstLineChars="196"/>
        <w:rPr>
          <w:rFonts w:ascii="宋体" w:hAnsi="宋体" w:eastAsia="宋体"/>
        </w:rPr>
      </w:pPr>
      <w:r>
        <w:rPr>
          <w:rFonts w:hint="eastAsia" w:ascii="宋体" w:hAnsi="宋体" w:eastAsia="宋体" w:cs="宋体"/>
        </w:rPr>
        <w:t>二是平等保护非公企业。办理涉及海安县建筑、服饰、茧丝绸行业龙头企业的合同诈骗、职务侵占、虚假诉讼犯罪</w:t>
      </w:r>
      <w:r>
        <w:rPr>
          <w:rFonts w:ascii="宋体" w:hAnsi="宋体" w:eastAsia="宋体" w:cs="宋体"/>
        </w:rPr>
        <w:t>5</w:t>
      </w:r>
      <w:r>
        <w:rPr>
          <w:rFonts w:hint="eastAsia" w:ascii="宋体" w:hAnsi="宋体" w:eastAsia="宋体" w:cs="宋体"/>
        </w:rPr>
        <w:t>件</w:t>
      </w:r>
      <w:r>
        <w:rPr>
          <w:rFonts w:ascii="宋体" w:hAnsi="宋体" w:eastAsia="宋体" w:cs="宋体"/>
        </w:rPr>
        <w:t>9</w:t>
      </w:r>
      <w:r>
        <w:rPr>
          <w:rFonts w:hint="eastAsia" w:ascii="宋体" w:hAnsi="宋体" w:eastAsia="宋体" w:cs="宋体"/>
        </w:rPr>
        <w:t>人，帮助挽回经济损失</w:t>
      </w:r>
      <w:r>
        <w:rPr>
          <w:rFonts w:ascii="宋体" w:hAnsi="宋体" w:eastAsia="宋体" w:cs="宋体"/>
        </w:rPr>
        <w:t>7000</w:t>
      </w:r>
      <w:r>
        <w:rPr>
          <w:rFonts w:hint="eastAsia" w:ascii="宋体" w:hAnsi="宋体" w:eastAsia="宋体" w:cs="宋体"/>
        </w:rPr>
        <w:t>余万元。改进办案方式方法，对</w:t>
      </w:r>
      <w:r>
        <w:rPr>
          <w:rFonts w:ascii="宋体" w:hAnsi="宋体" w:eastAsia="宋体" w:cs="宋体"/>
        </w:rPr>
        <w:t>3</w:t>
      </w:r>
      <w:r>
        <w:rPr>
          <w:rFonts w:hint="eastAsia" w:ascii="宋体" w:hAnsi="宋体" w:eastAsia="宋体" w:cs="宋体"/>
        </w:rPr>
        <w:t>名非公企业负责人依法不予批捕或者建议变更强制措施，切实强化企业家人身利益安全感。</w:t>
      </w:r>
    </w:p>
    <w:p>
      <w:pPr>
        <w:spacing w:line="520" w:lineRule="exact"/>
        <w:ind w:firstLine="640" w:firstLineChars="200"/>
        <w:rPr>
          <w:rFonts w:ascii="宋体" w:hAnsi="宋体" w:eastAsia="宋体"/>
        </w:rPr>
      </w:pPr>
      <w:r>
        <w:rPr>
          <w:rFonts w:hint="eastAsia" w:ascii="宋体" w:hAnsi="宋体" w:eastAsia="宋体" w:cs="宋体"/>
        </w:rPr>
        <w:t>三是助力优化生态环境。制定服务保障省委“</w:t>
      </w:r>
      <w:r>
        <w:rPr>
          <w:rFonts w:ascii="宋体" w:hAnsi="宋体" w:eastAsia="宋体" w:cs="宋体"/>
        </w:rPr>
        <w:t>263</w:t>
      </w:r>
      <w:r>
        <w:rPr>
          <w:rFonts w:hint="eastAsia" w:ascii="宋体" w:hAnsi="宋体" w:eastAsia="宋体" w:cs="宋体"/>
        </w:rPr>
        <w:t>”行动、美丽乡村建设的工作意见，相关做法被省委“</w:t>
      </w:r>
      <w:r>
        <w:rPr>
          <w:rFonts w:ascii="宋体" w:hAnsi="宋体" w:eastAsia="宋体" w:cs="宋体"/>
        </w:rPr>
        <w:t>263</w:t>
      </w:r>
      <w:r>
        <w:rPr>
          <w:rFonts w:hint="eastAsia" w:ascii="宋体" w:hAnsi="宋体" w:eastAsia="宋体" w:cs="宋体"/>
        </w:rPr>
        <w:t>”信息专刊转发。加强和改进环保检察工作，办理污染环境、非法捕猎野生动物犯罪</w:t>
      </w:r>
      <w:r>
        <w:rPr>
          <w:rFonts w:ascii="宋体" w:hAnsi="宋体" w:eastAsia="宋体" w:cs="宋体"/>
        </w:rPr>
        <w:t>11</w:t>
      </w:r>
      <w:r>
        <w:rPr>
          <w:rFonts w:hint="eastAsia" w:ascii="宋体" w:hAnsi="宋体" w:eastAsia="宋体" w:cs="宋体"/>
        </w:rPr>
        <w:t>件</w:t>
      </w:r>
      <w:r>
        <w:rPr>
          <w:rFonts w:ascii="宋体" w:hAnsi="宋体" w:eastAsia="宋体" w:cs="宋体"/>
        </w:rPr>
        <w:t>46</w:t>
      </w:r>
      <w:r>
        <w:rPr>
          <w:rFonts w:hint="eastAsia" w:ascii="宋体" w:hAnsi="宋体" w:eastAsia="宋体" w:cs="宋体"/>
        </w:rPr>
        <w:t>人。将恢复性司法理念运用于生态保护司法实践，建立生态环境损害赔偿机制。</w:t>
      </w:r>
    </w:p>
    <w:p>
      <w:pPr>
        <w:spacing w:line="520" w:lineRule="exact"/>
        <w:ind w:firstLine="640" w:firstLineChars="200"/>
        <w:rPr>
          <w:rFonts w:ascii="宋体" w:hAnsi="宋体" w:eastAsia="宋体"/>
        </w:rPr>
      </w:pPr>
      <w:r>
        <w:rPr>
          <w:rFonts w:hint="eastAsia" w:ascii="宋体" w:hAnsi="宋体" w:eastAsia="宋体" w:cs="宋体"/>
        </w:rPr>
        <w:t>二、强化监督，深化改革，有效维护法治权威</w:t>
      </w:r>
    </w:p>
    <w:p>
      <w:pPr>
        <w:spacing w:line="520" w:lineRule="exact"/>
        <w:ind w:firstLine="640" w:firstLineChars="200"/>
        <w:rPr>
          <w:rFonts w:ascii="宋体" w:hAnsi="宋体" w:eastAsia="宋体"/>
        </w:rPr>
      </w:pPr>
      <w:r>
        <w:rPr>
          <w:rFonts w:hint="eastAsia" w:ascii="宋体" w:hAnsi="宋体" w:eastAsia="宋体" w:cs="宋体"/>
        </w:rPr>
        <w:t>一是深入惩防职务犯罪。依法查办贪污贿赂犯罪</w:t>
      </w:r>
      <w:r>
        <w:rPr>
          <w:rFonts w:ascii="宋体" w:hAnsi="宋体" w:eastAsia="宋体" w:cs="宋体"/>
        </w:rPr>
        <w:t>13</w:t>
      </w:r>
      <w:r>
        <w:rPr>
          <w:rFonts w:hint="eastAsia" w:ascii="宋体" w:hAnsi="宋体" w:eastAsia="宋体" w:cs="宋体"/>
        </w:rPr>
        <w:t>件</w:t>
      </w:r>
      <w:r>
        <w:rPr>
          <w:rFonts w:ascii="宋体" w:hAnsi="宋体" w:eastAsia="宋体" w:cs="宋体"/>
        </w:rPr>
        <w:t>20</w:t>
      </w:r>
      <w:r>
        <w:rPr>
          <w:rFonts w:hint="eastAsia" w:ascii="宋体" w:hAnsi="宋体" w:eastAsia="宋体" w:cs="宋体"/>
        </w:rPr>
        <w:t>人。成功追捕潜逃省外</w:t>
      </w:r>
      <w:r>
        <w:rPr>
          <w:rFonts w:ascii="宋体" w:hAnsi="宋体" w:eastAsia="宋体" w:cs="宋体"/>
        </w:rPr>
        <w:t>18</w:t>
      </w:r>
      <w:r>
        <w:rPr>
          <w:rFonts w:hint="eastAsia" w:ascii="宋体" w:hAnsi="宋体" w:eastAsia="宋体" w:cs="宋体"/>
        </w:rPr>
        <w:t>年的犯罪嫌疑人高某某。依法查办渎职犯罪</w:t>
      </w:r>
      <w:r>
        <w:rPr>
          <w:rFonts w:ascii="宋体" w:hAnsi="宋体" w:eastAsia="宋体" w:cs="宋体"/>
        </w:rPr>
        <w:t>4</w:t>
      </w:r>
      <w:r>
        <w:rPr>
          <w:rFonts w:hint="eastAsia" w:ascii="宋体" w:hAnsi="宋体" w:eastAsia="宋体" w:cs="宋体"/>
        </w:rPr>
        <w:t>件</w:t>
      </w:r>
      <w:r>
        <w:rPr>
          <w:rFonts w:ascii="宋体" w:hAnsi="宋体" w:eastAsia="宋体" w:cs="宋体"/>
        </w:rPr>
        <w:t>5</w:t>
      </w:r>
      <w:r>
        <w:rPr>
          <w:rFonts w:hint="eastAsia" w:ascii="宋体" w:hAnsi="宋体" w:eastAsia="宋体" w:cs="宋体"/>
        </w:rPr>
        <w:t>人。注重分析发案特点，退伍军人优抚领域渎职犯罪情况调研报告获得了省检察院刘华检察长的批示。办理涉及重大工程行贿犯罪档案查询</w:t>
      </w:r>
      <w:r>
        <w:rPr>
          <w:rFonts w:ascii="宋体" w:hAnsi="宋体" w:eastAsia="宋体" w:cs="宋体"/>
        </w:rPr>
        <w:t>45</w:t>
      </w:r>
      <w:r>
        <w:rPr>
          <w:rFonts w:hint="eastAsia" w:ascii="宋体" w:hAnsi="宋体" w:eastAsia="宋体" w:cs="宋体"/>
        </w:rPr>
        <w:t>件。检察长宣讲团举办廉政法治讲座</w:t>
      </w:r>
      <w:r>
        <w:rPr>
          <w:rFonts w:ascii="宋体" w:hAnsi="宋体" w:eastAsia="宋体" w:cs="宋体"/>
        </w:rPr>
        <w:t>12</w:t>
      </w:r>
      <w:r>
        <w:rPr>
          <w:rFonts w:hint="eastAsia" w:ascii="宋体" w:hAnsi="宋体" w:eastAsia="宋体" w:cs="宋体"/>
        </w:rPr>
        <w:t>场。发送预防检察建议</w:t>
      </w:r>
      <w:r>
        <w:rPr>
          <w:rFonts w:ascii="宋体" w:hAnsi="宋体" w:eastAsia="宋体" w:cs="宋体"/>
        </w:rPr>
        <w:t>5</w:t>
      </w:r>
      <w:r>
        <w:rPr>
          <w:rFonts w:hint="eastAsia" w:ascii="宋体" w:hAnsi="宋体" w:eastAsia="宋体" w:cs="宋体"/>
        </w:rPr>
        <w:t>份，一份检察建议获评全省优秀检察建议。</w:t>
      </w:r>
    </w:p>
    <w:p>
      <w:pPr>
        <w:spacing w:line="520" w:lineRule="exact"/>
        <w:ind w:firstLine="627" w:firstLineChars="196"/>
        <w:rPr>
          <w:rFonts w:ascii="宋体" w:hAnsi="宋体" w:eastAsia="宋体"/>
        </w:rPr>
      </w:pPr>
      <w:r>
        <w:rPr>
          <w:rFonts w:hint="eastAsia" w:ascii="宋体" w:hAnsi="宋体" w:eastAsia="宋体" w:cs="宋体"/>
        </w:rPr>
        <w:t>二是全面加强诉讼监督。完善“两法衔接”工作机制，监督行政机关移送犯罪线索</w:t>
      </w:r>
      <w:r>
        <w:rPr>
          <w:rFonts w:ascii="宋体" w:hAnsi="宋体" w:eastAsia="宋体" w:cs="宋体"/>
        </w:rPr>
        <w:t>4</w:t>
      </w:r>
      <w:r>
        <w:rPr>
          <w:rFonts w:hint="eastAsia" w:ascii="宋体" w:hAnsi="宋体" w:eastAsia="宋体" w:cs="宋体"/>
        </w:rPr>
        <w:t>件。驻所检察室连续</w:t>
      </w:r>
      <w:r>
        <w:rPr>
          <w:rFonts w:ascii="宋体" w:hAnsi="宋体" w:eastAsia="宋体" w:cs="宋体"/>
        </w:rPr>
        <w:t>5</w:t>
      </w:r>
      <w:r>
        <w:rPr>
          <w:rFonts w:hint="eastAsia" w:ascii="宋体" w:hAnsi="宋体" w:eastAsia="宋体" w:cs="宋体"/>
        </w:rPr>
        <w:t>届被评为“全国一级规范化检察室”。依法办理羁押必要性审查案件</w:t>
      </w:r>
      <w:r>
        <w:rPr>
          <w:rFonts w:ascii="宋体" w:hAnsi="宋体" w:eastAsia="宋体" w:cs="宋体"/>
        </w:rPr>
        <w:t>24</w:t>
      </w:r>
      <w:r>
        <w:rPr>
          <w:rFonts w:hint="eastAsia" w:ascii="宋体" w:hAnsi="宋体" w:eastAsia="宋体" w:cs="宋体"/>
        </w:rPr>
        <w:t>件</w:t>
      </w:r>
      <w:r>
        <w:rPr>
          <w:rFonts w:ascii="宋体" w:hAnsi="宋体" w:eastAsia="宋体" w:cs="宋体"/>
        </w:rPr>
        <w:t>24</w:t>
      </w:r>
      <w:r>
        <w:rPr>
          <w:rFonts w:hint="eastAsia" w:ascii="宋体" w:hAnsi="宋体" w:eastAsia="宋体" w:cs="宋体"/>
        </w:rPr>
        <w:t>人，建议采纳率</w:t>
      </w:r>
      <w:r>
        <w:rPr>
          <w:rFonts w:ascii="宋体" w:hAnsi="宋体" w:eastAsia="宋体" w:cs="宋体"/>
        </w:rPr>
        <w:t>100%</w:t>
      </w:r>
      <w:r>
        <w:rPr>
          <w:rFonts w:hint="eastAsia" w:ascii="宋体" w:hAnsi="宋体" w:eastAsia="宋体" w:cs="宋体"/>
        </w:rPr>
        <w:t>，一起案件入选“全国羁押必要性审查十大精品案件”。一起案件被评为全国基层检察院民事诉讼监督优秀案件。针对水利行政执法中存在的问题，发出检察建议</w:t>
      </w:r>
      <w:r>
        <w:rPr>
          <w:rFonts w:ascii="宋体" w:hAnsi="宋体" w:eastAsia="宋体" w:cs="宋体"/>
        </w:rPr>
        <w:t>5</w:t>
      </w:r>
      <w:r>
        <w:rPr>
          <w:rFonts w:hint="eastAsia" w:ascii="宋体" w:hAnsi="宋体" w:eastAsia="宋体" w:cs="宋体"/>
        </w:rPr>
        <w:t>份，针对土地出让金收缴过程中国有财产流失的问题，进行公益诉讼立案审查，发出诉前检察建议</w:t>
      </w:r>
      <w:r>
        <w:rPr>
          <w:rFonts w:ascii="宋体" w:hAnsi="宋体" w:eastAsia="宋体" w:cs="宋体"/>
        </w:rPr>
        <w:t>2</w:t>
      </w:r>
      <w:r>
        <w:rPr>
          <w:rFonts w:hint="eastAsia" w:ascii="宋体" w:hAnsi="宋体" w:eastAsia="宋体" w:cs="宋体"/>
        </w:rPr>
        <w:t>份，彰显检察监督刚性。</w:t>
      </w:r>
    </w:p>
    <w:p>
      <w:pPr>
        <w:spacing w:line="520" w:lineRule="exact"/>
        <w:ind w:firstLine="640" w:firstLineChars="200"/>
        <w:rPr>
          <w:rFonts w:ascii="宋体" w:hAnsi="宋体" w:eastAsia="宋体"/>
        </w:rPr>
      </w:pPr>
      <w:r>
        <w:rPr>
          <w:rFonts w:hint="eastAsia" w:ascii="宋体" w:hAnsi="宋体" w:eastAsia="宋体" w:cs="宋体"/>
        </w:rPr>
        <w:t>三是稳步推进司法改革。坚持员额向办案一线集中，入额院领导办案成为常态。招录</w:t>
      </w:r>
      <w:r>
        <w:rPr>
          <w:rFonts w:ascii="宋体" w:hAnsi="宋体" w:eastAsia="宋体" w:cs="宋体"/>
        </w:rPr>
        <w:t>8</w:t>
      </w:r>
      <w:r>
        <w:rPr>
          <w:rFonts w:hint="eastAsia" w:ascii="宋体" w:hAnsi="宋体" w:eastAsia="宋体" w:cs="宋体"/>
        </w:rPr>
        <w:t>名聘用制书记员，并制定相关考核管理办法，提高辅助办案效果。深化规范司法行为专项整治，细化检察官权力清单，对</w:t>
      </w:r>
      <w:r>
        <w:rPr>
          <w:rFonts w:ascii="宋体" w:hAnsi="宋体" w:eastAsia="宋体" w:cs="宋体"/>
        </w:rPr>
        <w:t>200</w:t>
      </w:r>
      <w:r>
        <w:rPr>
          <w:rFonts w:hint="eastAsia" w:ascii="宋体" w:hAnsi="宋体" w:eastAsia="宋体" w:cs="宋体"/>
        </w:rPr>
        <w:t>余件案件开展质量评查，针对案件瑕疵进行警示约谈。充分发挥诉前主导和审前过滤作用。积极引导侦查取证，提前介入重大疑难复杂刑事案件</w:t>
      </w:r>
      <w:r>
        <w:rPr>
          <w:rFonts w:ascii="宋体" w:hAnsi="宋体" w:eastAsia="宋体" w:cs="宋体"/>
        </w:rPr>
        <w:t>14</w:t>
      </w:r>
      <w:r>
        <w:rPr>
          <w:rFonts w:hint="eastAsia" w:ascii="宋体" w:hAnsi="宋体" w:eastAsia="宋体" w:cs="宋体"/>
        </w:rPr>
        <w:t>起。积极增进检民互动，组织开展视察评议、观摩庭审、工作通报会等活动。依托新媒体打造“指尖上的检察院”，通过“海安检察”微博微信及时发布工作动态。</w:t>
      </w:r>
    </w:p>
    <w:p>
      <w:pPr>
        <w:spacing w:line="520" w:lineRule="exact"/>
        <w:ind w:firstLine="640" w:firstLineChars="200"/>
        <w:rPr>
          <w:rFonts w:ascii="宋体" w:hAnsi="宋体" w:eastAsia="宋体"/>
        </w:rPr>
      </w:pPr>
      <w:r>
        <w:rPr>
          <w:rFonts w:hint="eastAsia" w:ascii="宋体" w:hAnsi="宋体" w:eastAsia="宋体" w:cs="宋体"/>
        </w:rPr>
        <w:t>三、适应形势，突出实效，提高从严治检水平</w:t>
      </w:r>
    </w:p>
    <w:p>
      <w:pPr>
        <w:spacing w:line="520" w:lineRule="exact"/>
        <w:ind w:firstLine="640" w:firstLineChars="200"/>
        <w:rPr>
          <w:rFonts w:ascii="宋体" w:hAnsi="宋体" w:eastAsia="宋体"/>
        </w:rPr>
      </w:pPr>
      <w:r>
        <w:rPr>
          <w:rFonts w:hint="eastAsia" w:ascii="宋体" w:hAnsi="宋体" w:eastAsia="宋体" w:cs="宋体"/>
        </w:rPr>
        <w:t>一是深入学习贯彻十九大精神。将学习贯彻党的十九大精神作为首要政治任务，采取党组中心组学习、集中宣讲辅导、专题报告会等形式，切实在学懂、弄通、做实上下功夫。深入推进“两学一做”学习教育常态化制度化，将理论讲堂、道德讲堂、社科讲堂整合为“江海大讲坛”，被评为全县“三堂融合”示范讲堂。院党组中心组连续</w:t>
      </w:r>
      <w:r>
        <w:rPr>
          <w:rFonts w:ascii="宋体" w:hAnsi="宋体" w:eastAsia="宋体" w:cs="宋体"/>
        </w:rPr>
        <w:t>14</w:t>
      </w:r>
      <w:r>
        <w:rPr>
          <w:rFonts w:hint="eastAsia" w:ascii="宋体" w:hAnsi="宋体" w:eastAsia="宋体" w:cs="宋体"/>
        </w:rPr>
        <w:t>年被评为全县“先进基层党组中心组”。</w:t>
      </w:r>
    </w:p>
    <w:p>
      <w:pPr>
        <w:spacing w:line="520" w:lineRule="exact"/>
        <w:ind w:firstLine="640" w:firstLineChars="200"/>
        <w:rPr>
          <w:rFonts w:ascii="宋体" w:hAnsi="宋体" w:eastAsia="宋体"/>
        </w:rPr>
      </w:pPr>
      <w:r>
        <w:rPr>
          <w:rFonts w:hint="eastAsia" w:ascii="宋体" w:hAnsi="宋体" w:eastAsia="宋体" w:cs="宋体"/>
        </w:rPr>
        <w:t>二是强化素能培育。成立食药安全、未成年人等方面的专业化办案组，培养专家型检察官。依托“海睿法学社”平台，定期开展疑案精解、文书点评、小课堂培训活动，打造精英检察队伍。</w:t>
      </w:r>
      <w:r>
        <w:rPr>
          <w:rFonts w:ascii="宋体" w:hAnsi="宋体" w:eastAsia="宋体" w:cs="宋体"/>
        </w:rPr>
        <w:t>1</w:t>
      </w:r>
      <w:r>
        <w:rPr>
          <w:rFonts w:hint="eastAsia" w:ascii="宋体" w:hAnsi="宋体" w:eastAsia="宋体" w:cs="宋体"/>
        </w:rPr>
        <w:t>名干警在全省公诉论辩赛中获“最佳风采奖”，</w:t>
      </w:r>
      <w:r>
        <w:rPr>
          <w:rFonts w:ascii="宋体" w:hAnsi="宋体" w:eastAsia="宋体" w:cs="宋体"/>
        </w:rPr>
        <w:t>2</w:t>
      </w:r>
      <w:r>
        <w:rPr>
          <w:rFonts w:hint="eastAsia" w:ascii="宋体" w:hAnsi="宋体" w:eastAsia="宋体" w:cs="宋体"/>
        </w:rPr>
        <w:t>名干警获评全省检察理论研究人才，</w:t>
      </w:r>
      <w:r>
        <w:rPr>
          <w:rFonts w:ascii="宋体" w:hAnsi="宋体" w:eastAsia="宋体" w:cs="宋体"/>
        </w:rPr>
        <w:t>2</w:t>
      </w:r>
      <w:r>
        <w:rPr>
          <w:rFonts w:hint="eastAsia" w:ascii="宋体" w:hAnsi="宋体" w:eastAsia="宋体" w:cs="宋体"/>
        </w:rPr>
        <w:t>名干警被选派至新疆检察院开展对口支援。积极开展“走帮服”等活动，助力脱贫攻坚，增强干警为民服务能力和水平。</w:t>
      </w:r>
    </w:p>
    <w:p>
      <w:pPr>
        <w:spacing w:line="520" w:lineRule="exact"/>
        <w:ind w:firstLine="640" w:firstLineChars="200"/>
        <w:rPr>
          <w:rFonts w:ascii="宋体" w:hAnsi="宋体" w:eastAsia="宋体"/>
        </w:rPr>
      </w:pPr>
      <w:r>
        <w:rPr>
          <w:rFonts w:hint="eastAsia" w:ascii="宋体" w:hAnsi="宋体" w:eastAsia="宋体" w:cs="宋体"/>
        </w:rPr>
        <w:t>三是狠抓作风建设。认真贯彻新修订的党章和《准则》《条例》等党内法规，不断强化自身反腐倡廉。深入开展廉政风险排查防控“回头看”，对</w:t>
      </w:r>
      <w:r>
        <w:rPr>
          <w:rFonts w:ascii="宋体" w:hAnsi="宋体" w:eastAsia="宋体" w:cs="宋体"/>
        </w:rPr>
        <w:t>137</w:t>
      </w:r>
      <w:r>
        <w:rPr>
          <w:rFonts w:hint="eastAsia" w:ascii="宋体" w:hAnsi="宋体" w:eastAsia="宋体" w:cs="宋体"/>
        </w:rPr>
        <w:t>个风险点对症下药制定防控措施。坚决防止“四风”反弹回潮，开展检务督查</w:t>
      </w:r>
      <w:r>
        <w:rPr>
          <w:rFonts w:ascii="宋体" w:hAnsi="宋体" w:eastAsia="宋体" w:cs="宋体"/>
        </w:rPr>
        <w:t>52</w:t>
      </w:r>
      <w:r>
        <w:rPr>
          <w:rFonts w:hint="eastAsia" w:ascii="宋体" w:hAnsi="宋体" w:eastAsia="宋体" w:cs="宋体"/>
        </w:rPr>
        <w:t>次，走访干警所在社区</w:t>
      </w:r>
      <w:r>
        <w:rPr>
          <w:rFonts w:ascii="宋体" w:hAnsi="宋体" w:eastAsia="宋体" w:cs="宋体"/>
        </w:rPr>
        <w:t>15</w:t>
      </w:r>
      <w:r>
        <w:rPr>
          <w:rFonts w:hint="eastAsia" w:ascii="宋体" w:hAnsi="宋体" w:eastAsia="宋体" w:cs="宋体"/>
        </w:rPr>
        <w:t>次，全年“三公”经费支出同比下降</w:t>
      </w:r>
      <w:r>
        <w:rPr>
          <w:rFonts w:ascii="宋体" w:hAnsi="宋体" w:eastAsia="宋体" w:cs="宋体"/>
        </w:rPr>
        <w:t>20.66%</w:t>
      </w:r>
      <w:r>
        <w:rPr>
          <w:rFonts w:hint="eastAsia" w:ascii="宋体" w:hAnsi="宋体" w:eastAsia="宋体" w:cs="宋体"/>
        </w:rPr>
        <w:t>。</w:t>
      </w:r>
    </w:p>
    <w:p>
      <w:pPr>
        <w:spacing w:line="550" w:lineRule="exact"/>
        <w:ind w:firstLine="640" w:firstLineChars="200"/>
        <w:rPr>
          <w:rFonts w:ascii="方正黑体_GBK" w:eastAsia="方正黑体_GBK"/>
        </w:rPr>
        <w:sectPr>
          <w:footerReference r:id="rId3" w:type="default"/>
          <w:pgSz w:w="11906" w:h="16838"/>
          <w:pgMar w:top="1814" w:right="1588" w:bottom="1985" w:left="1588" w:header="851" w:footer="992" w:gutter="0"/>
          <w:pgNumType w:start="1"/>
          <w:cols w:space="720" w:num="1"/>
          <w:docGrid w:type="lines" w:linePitch="312" w:charSpace="0"/>
        </w:sectPr>
      </w:pPr>
    </w:p>
    <w:p>
      <w:pPr>
        <w:spacing w:before="100" w:beforeAutospacing="1" w:after="100" w:afterAutospacing="1" w:line="550" w:lineRule="exact"/>
        <w:jc w:val="center"/>
        <w:rPr>
          <w:rFonts w:ascii="宋体" w:hAnsi="宋体" w:eastAsia="宋体"/>
          <w:b/>
          <w:bCs/>
          <w:sz w:val="36"/>
          <w:szCs w:val="36"/>
        </w:rPr>
      </w:pPr>
      <w:r>
        <w:rPr>
          <w:rFonts w:hint="eastAsia" w:ascii="宋体" w:hAnsi="宋体" w:eastAsia="宋体" w:cs="宋体"/>
          <w:b/>
          <w:bCs/>
          <w:sz w:val="36"/>
          <w:szCs w:val="36"/>
        </w:rPr>
        <w:t>第二部分　海安市人民检察院</w:t>
      </w:r>
      <w:r>
        <w:rPr>
          <w:rFonts w:ascii="宋体" w:hAnsi="宋体" w:eastAsia="宋体" w:cs="宋体"/>
          <w:b/>
          <w:bCs/>
          <w:sz w:val="36"/>
          <w:szCs w:val="36"/>
        </w:rPr>
        <w:t>2017</w:t>
      </w:r>
      <w:r>
        <w:rPr>
          <w:rFonts w:hint="eastAsia" w:ascii="宋体" w:hAnsi="宋体" w:eastAsia="宋体" w:cs="宋体"/>
          <w:b/>
          <w:bCs/>
          <w:sz w:val="36"/>
          <w:szCs w:val="36"/>
        </w:rPr>
        <w:t>年度部门决算表</w:t>
      </w:r>
    </w:p>
    <w:tbl>
      <w:tblPr>
        <w:tblStyle w:val="8"/>
        <w:tblW w:w="11618" w:type="dxa"/>
        <w:jc w:val="center"/>
        <w:tblInd w:w="0" w:type="dxa"/>
        <w:tblLayout w:type="fixed"/>
        <w:tblCellMar>
          <w:top w:w="0" w:type="dxa"/>
          <w:left w:w="108" w:type="dxa"/>
          <w:bottom w:w="0" w:type="dxa"/>
          <w:right w:w="108" w:type="dxa"/>
        </w:tblCellMar>
      </w:tblPr>
      <w:tblGrid>
        <w:gridCol w:w="3396"/>
        <w:gridCol w:w="992"/>
        <w:gridCol w:w="2835"/>
        <w:gridCol w:w="938"/>
        <w:gridCol w:w="2416"/>
        <w:gridCol w:w="1041"/>
      </w:tblGrid>
      <w:tr>
        <w:tblPrEx>
          <w:tblLayout w:type="fixed"/>
          <w:tblCellMar>
            <w:top w:w="0" w:type="dxa"/>
            <w:left w:w="108" w:type="dxa"/>
            <w:bottom w:w="0" w:type="dxa"/>
            <w:right w:w="108" w:type="dxa"/>
          </w:tblCellMar>
        </w:tblPrEx>
        <w:trPr>
          <w:trHeight w:val="960" w:hRule="atLeast"/>
          <w:jc w:val="center"/>
        </w:trPr>
        <w:tc>
          <w:tcPr>
            <w:tcW w:w="11618" w:type="dxa"/>
            <w:gridSpan w:val="6"/>
            <w:tcBorders>
              <w:top w:val="nil"/>
              <w:left w:val="nil"/>
              <w:bottom w:val="nil"/>
              <w:right w:val="nil"/>
            </w:tcBorders>
            <w:vAlign w:val="center"/>
          </w:tcPr>
          <w:p>
            <w:pPr>
              <w:widowControl/>
              <w:autoSpaceDE/>
              <w:autoSpaceDN/>
              <w:snapToGrid/>
              <w:spacing w:line="240" w:lineRule="auto"/>
              <w:ind w:firstLine="0"/>
              <w:jc w:val="center"/>
              <w:rPr>
                <w:rFonts w:ascii="宋体" w:hAnsi="宋体" w:eastAsia="宋体"/>
                <w:b/>
                <w:bCs/>
                <w:sz w:val="36"/>
                <w:szCs w:val="36"/>
              </w:rPr>
            </w:pPr>
            <w:r>
              <w:rPr>
                <w:rFonts w:hint="eastAsia" w:ascii="宋体" w:hAnsi="宋体" w:eastAsia="宋体" w:cs="宋体"/>
                <w:b/>
                <w:bCs/>
                <w:sz w:val="36"/>
                <w:szCs w:val="36"/>
              </w:rPr>
              <w:t>收入支出决算总表</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nil"/>
              <w:bottom w:val="nil"/>
              <w:right w:val="nil"/>
            </w:tcBorders>
            <w:vAlign w:val="center"/>
          </w:tcPr>
          <w:p>
            <w:pPr>
              <w:widowControl/>
              <w:autoSpaceDE/>
              <w:autoSpaceDN/>
              <w:snapToGrid/>
              <w:spacing w:line="240" w:lineRule="auto"/>
              <w:ind w:firstLine="0"/>
              <w:jc w:val="center"/>
              <w:rPr>
                <w:rFonts w:eastAsia="方正小标宋_GBK"/>
                <w:sz w:val="36"/>
                <w:szCs w:val="36"/>
              </w:rPr>
            </w:pPr>
          </w:p>
        </w:tc>
        <w:tc>
          <w:tcPr>
            <w:tcW w:w="992"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2835"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4395" w:type="dxa"/>
            <w:gridSpan w:val="3"/>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公开</w:t>
            </w:r>
            <w:r>
              <w:rPr>
                <w:rFonts w:eastAsia="宋体"/>
                <w:sz w:val="20"/>
                <w:szCs w:val="20"/>
              </w:rPr>
              <w:t>01</w:t>
            </w:r>
            <w:r>
              <w:rPr>
                <w:rFonts w:hint="eastAsia" w:eastAsia="宋体" w:cs="宋体"/>
                <w:sz w:val="20"/>
                <w:szCs w:val="20"/>
              </w:rPr>
              <w:t>表</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部门名称：海安市人民检察院</w:t>
            </w:r>
          </w:p>
        </w:tc>
        <w:tc>
          <w:tcPr>
            <w:tcW w:w="992" w:type="dxa"/>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p>
        </w:tc>
        <w:tc>
          <w:tcPr>
            <w:tcW w:w="2835"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4395" w:type="dxa"/>
            <w:gridSpan w:val="3"/>
            <w:tcBorders>
              <w:top w:val="nil"/>
              <w:left w:val="nil"/>
              <w:bottom w:val="single" w:color="auto" w:sz="4" w:space="0"/>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金额单位：万元</w:t>
            </w:r>
          </w:p>
        </w:tc>
      </w:tr>
      <w:tr>
        <w:tblPrEx>
          <w:tblLayout w:type="fixed"/>
          <w:tblCellMar>
            <w:top w:w="0" w:type="dxa"/>
            <w:left w:w="108" w:type="dxa"/>
            <w:bottom w:w="0" w:type="dxa"/>
            <w:right w:w="108" w:type="dxa"/>
          </w:tblCellMar>
        </w:tblPrEx>
        <w:trPr>
          <w:trHeight w:val="319" w:hRule="atLeast"/>
          <w:jc w:val="center"/>
        </w:trPr>
        <w:tc>
          <w:tcPr>
            <w:tcW w:w="4388"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收入</w:t>
            </w:r>
          </w:p>
        </w:tc>
        <w:tc>
          <w:tcPr>
            <w:tcW w:w="7230" w:type="dxa"/>
            <w:gridSpan w:val="4"/>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支出</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项目</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决算数</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按功能分类</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决算数</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按支出性质</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决算数</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一、财政拨款收入</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3450.00</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一、一般公共服务支出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一、基本支出</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2376.96</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其中：政府性基金预算财政拨款</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二、外交支出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二、项目支出</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1220.80</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二、上级补助收入</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三、国防支出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三、上缴上级支出</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三、事业收入</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四、公共安全支出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3243.04</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四、经营支出</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四、经营收入</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五、教育支出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五、对附属单位补助支出</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五、附属单位上缴收入</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六、科学技术支出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六、其他收入</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146.56</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七、文化体育与传媒支出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八、社会保障和就业支出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158.74</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九、医疗卫生与计划生育支出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十、节能环保支出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十一、城乡社区支出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　</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十二、农林水支出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92" w:type="dxa"/>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35" w:type="dxa"/>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十三、交通运输支出</w:t>
            </w:r>
          </w:p>
        </w:tc>
        <w:tc>
          <w:tcPr>
            <w:tcW w:w="938" w:type="dxa"/>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eastAsia="宋体"/>
                <w:sz w:val="20"/>
                <w:szCs w:val="20"/>
              </w:rPr>
              <w:t>0.00</w:t>
            </w:r>
            <w:r>
              <w:rPr>
                <w:rFonts w:hint="eastAsia" w:eastAsia="宋体" w:cs="宋体"/>
                <w:sz w:val="20"/>
                <w:szCs w:val="20"/>
              </w:rPr>
              <w:t>　</w:t>
            </w:r>
          </w:p>
        </w:tc>
        <w:tc>
          <w:tcPr>
            <w:tcW w:w="2416" w:type="dxa"/>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92" w:type="dxa"/>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35" w:type="dxa"/>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十四、资源勘探信息等支出</w:t>
            </w:r>
          </w:p>
        </w:tc>
        <w:tc>
          <w:tcPr>
            <w:tcW w:w="938" w:type="dxa"/>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eastAsia="宋体"/>
                <w:sz w:val="20"/>
                <w:szCs w:val="20"/>
              </w:rPr>
              <w:t>0.00</w:t>
            </w:r>
            <w:r>
              <w:rPr>
                <w:rFonts w:hint="eastAsia" w:eastAsia="宋体" w:cs="宋体"/>
                <w:sz w:val="20"/>
                <w:szCs w:val="20"/>
              </w:rPr>
              <w:t>　</w:t>
            </w:r>
          </w:p>
        </w:tc>
        <w:tc>
          <w:tcPr>
            <w:tcW w:w="2416" w:type="dxa"/>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十五、商业服务业等支出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eastAsia="宋体"/>
                <w:sz w:val="20"/>
                <w:szCs w:val="20"/>
              </w:rPr>
              <w:t>0.00</w:t>
            </w:r>
            <w:r>
              <w:rPr>
                <w:rFonts w:hint="eastAsia" w:eastAsia="宋体" w:cs="宋体"/>
                <w:sz w:val="20"/>
                <w:szCs w:val="20"/>
              </w:rPr>
              <w:t>　</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十六、金融支出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eastAsia="宋体"/>
                <w:sz w:val="20"/>
                <w:szCs w:val="20"/>
              </w:rPr>
              <w:t>0.00</w:t>
            </w:r>
            <w:r>
              <w:rPr>
                <w:rFonts w:hint="eastAsia" w:eastAsia="宋体" w:cs="宋体"/>
                <w:sz w:val="20"/>
                <w:szCs w:val="20"/>
              </w:rPr>
              <w:t>　</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十七、援助其他地区支出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eastAsia="宋体"/>
                <w:sz w:val="20"/>
                <w:szCs w:val="20"/>
              </w:rPr>
              <w:t>0.00</w:t>
            </w:r>
            <w:r>
              <w:rPr>
                <w:rFonts w:hint="eastAsia" w:eastAsia="宋体" w:cs="宋体"/>
                <w:sz w:val="20"/>
                <w:szCs w:val="20"/>
              </w:rPr>
              <w:t>　</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十八、国土海洋气象等支出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eastAsia="宋体"/>
                <w:sz w:val="20"/>
                <w:szCs w:val="20"/>
              </w:rPr>
              <w:t>0.00</w:t>
            </w:r>
            <w:r>
              <w:rPr>
                <w:rFonts w:hint="eastAsia" w:eastAsia="宋体" w:cs="宋体"/>
                <w:sz w:val="20"/>
                <w:szCs w:val="20"/>
              </w:rPr>
              <w:t>　</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十九、住房保障支出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eastAsia="宋体"/>
                <w:sz w:val="20"/>
                <w:szCs w:val="20"/>
              </w:rPr>
              <w:t>195.98</w:t>
            </w:r>
            <w:r>
              <w:rPr>
                <w:rFonts w:hint="eastAsia" w:eastAsia="宋体" w:cs="宋体"/>
                <w:sz w:val="20"/>
                <w:szCs w:val="20"/>
              </w:rPr>
              <w:t>　</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二十、粮油物资储备支出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eastAsia="宋体"/>
                <w:sz w:val="20"/>
                <w:szCs w:val="20"/>
              </w:rPr>
              <w:t>0.00</w:t>
            </w:r>
            <w:r>
              <w:rPr>
                <w:rFonts w:hint="eastAsia" w:eastAsia="宋体" w:cs="宋体"/>
                <w:sz w:val="20"/>
                <w:szCs w:val="20"/>
              </w:rPr>
              <w:t>　</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二十一、其他支出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eastAsia="宋体"/>
                <w:sz w:val="20"/>
                <w:szCs w:val="20"/>
              </w:rPr>
              <w:t>0.00</w:t>
            </w:r>
            <w:r>
              <w:rPr>
                <w:rFonts w:hint="eastAsia" w:eastAsia="宋体" w:cs="宋体"/>
                <w:sz w:val="20"/>
                <w:szCs w:val="20"/>
              </w:rPr>
              <w:t>　</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二十二、债务还本支出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eastAsia="宋体"/>
                <w:sz w:val="20"/>
                <w:szCs w:val="20"/>
              </w:rPr>
              <w:t>0.00</w:t>
            </w:r>
            <w:r>
              <w:rPr>
                <w:rFonts w:hint="eastAsia" w:eastAsia="宋体" w:cs="宋体"/>
                <w:sz w:val="20"/>
                <w:szCs w:val="20"/>
              </w:rPr>
              <w:t>　</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35"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二十三、债务付息支出</w:t>
            </w:r>
          </w:p>
        </w:tc>
        <w:tc>
          <w:tcPr>
            <w:tcW w:w="938"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eastAsia="宋体"/>
                <w:sz w:val="20"/>
                <w:szCs w:val="20"/>
              </w:rPr>
              <w:t>0.00</w:t>
            </w:r>
            <w:r>
              <w:rPr>
                <w:rFonts w:hint="eastAsia" w:eastAsia="宋体" w:cs="宋体"/>
                <w:sz w:val="20"/>
                <w:szCs w:val="20"/>
              </w:rPr>
              <w:t>　</w:t>
            </w:r>
          </w:p>
        </w:tc>
        <w:tc>
          <w:tcPr>
            <w:tcW w:w="241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b/>
                <w:bCs/>
                <w:sz w:val="20"/>
                <w:szCs w:val="20"/>
              </w:rPr>
            </w:pPr>
            <w:r>
              <w:rPr>
                <w:rFonts w:hint="eastAsia" w:eastAsia="宋体" w:cs="宋体"/>
                <w:b/>
                <w:bCs/>
                <w:sz w:val="20"/>
                <w:szCs w:val="20"/>
              </w:rPr>
              <w:t>本年收入合计</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3596.56</w:t>
            </w:r>
          </w:p>
        </w:tc>
        <w:tc>
          <w:tcPr>
            <w:tcW w:w="6189" w:type="dxa"/>
            <w:gridSpan w:val="3"/>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b/>
                <w:bCs/>
                <w:sz w:val="20"/>
                <w:szCs w:val="20"/>
              </w:rPr>
            </w:pPr>
            <w:r>
              <w:rPr>
                <w:rFonts w:hint="eastAsia" w:eastAsia="宋体" w:cs="宋体"/>
                <w:b/>
                <w:bCs/>
                <w:sz w:val="20"/>
                <w:szCs w:val="20"/>
              </w:rPr>
              <w:t>本年支出合计</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3597.76</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用事业基金弥补收支差额</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6189" w:type="dxa"/>
            <w:gridSpan w:val="3"/>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结余分配</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年初结转和结余</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2.30</w:t>
            </w:r>
          </w:p>
        </w:tc>
        <w:tc>
          <w:tcPr>
            <w:tcW w:w="6189" w:type="dxa"/>
            <w:gridSpan w:val="3"/>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年末结转和结余</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1.10</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　</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p>
        </w:tc>
        <w:tc>
          <w:tcPr>
            <w:tcW w:w="6189" w:type="dxa"/>
            <w:gridSpan w:val="3"/>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339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b/>
                <w:bCs/>
                <w:sz w:val="20"/>
                <w:szCs w:val="20"/>
              </w:rPr>
            </w:pPr>
            <w:r>
              <w:rPr>
                <w:rFonts w:hint="eastAsia" w:eastAsia="宋体" w:cs="宋体"/>
                <w:b/>
                <w:bCs/>
                <w:sz w:val="20"/>
                <w:szCs w:val="20"/>
              </w:rPr>
              <w:t>总计</w:t>
            </w:r>
          </w:p>
        </w:tc>
        <w:tc>
          <w:tcPr>
            <w:tcW w:w="99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3598.86</w:t>
            </w:r>
          </w:p>
        </w:tc>
        <w:tc>
          <w:tcPr>
            <w:tcW w:w="6189" w:type="dxa"/>
            <w:gridSpan w:val="3"/>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b/>
                <w:bCs/>
                <w:sz w:val="20"/>
                <w:szCs w:val="20"/>
              </w:rPr>
            </w:pPr>
            <w:r>
              <w:rPr>
                <w:rFonts w:hint="eastAsia" w:eastAsia="宋体" w:cs="宋体"/>
                <w:b/>
                <w:bCs/>
                <w:sz w:val="20"/>
                <w:szCs w:val="20"/>
              </w:rPr>
              <w:t>总计</w:t>
            </w:r>
          </w:p>
        </w:tc>
        <w:tc>
          <w:tcPr>
            <w:tcW w:w="104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3598.86</w:t>
            </w:r>
          </w:p>
        </w:tc>
      </w:tr>
    </w:tbl>
    <w:p>
      <w:pPr>
        <w:ind w:firstLine="0"/>
      </w:pPr>
    </w:p>
    <w:p>
      <w:pPr>
        <w:ind w:firstLine="0"/>
      </w:pPr>
    </w:p>
    <w:p>
      <w:pPr>
        <w:ind w:firstLine="0"/>
      </w:pPr>
    </w:p>
    <w:p>
      <w:pPr>
        <w:ind w:firstLine="0"/>
      </w:pPr>
    </w:p>
    <w:p>
      <w:pPr>
        <w:ind w:firstLine="0"/>
      </w:pPr>
    </w:p>
    <w:p>
      <w:pPr>
        <w:ind w:firstLine="0"/>
      </w:pPr>
    </w:p>
    <w:tbl>
      <w:tblPr>
        <w:tblStyle w:val="8"/>
        <w:tblW w:w="12544" w:type="dxa"/>
        <w:jc w:val="center"/>
        <w:tblInd w:w="0" w:type="dxa"/>
        <w:tblLayout w:type="fixed"/>
        <w:tblCellMar>
          <w:top w:w="0" w:type="dxa"/>
          <w:left w:w="108" w:type="dxa"/>
          <w:bottom w:w="0" w:type="dxa"/>
          <w:right w:w="108" w:type="dxa"/>
        </w:tblCellMar>
      </w:tblPr>
      <w:tblGrid>
        <w:gridCol w:w="1136"/>
        <w:gridCol w:w="20"/>
        <w:gridCol w:w="1676"/>
        <w:gridCol w:w="61"/>
        <w:gridCol w:w="389"/>
        <w:gridCol w:w="511"/>
        <w:gridCol w:w="455"/>
        <w:gridCol w:w="451"/>
        <w:gridCol w:w="965"/>
        <w:gridCol w:w="453"/>
        <w:gridCol w:w="556"/>
        <w:gridCol w:w="407"/>
        <w:gridCol w:w="488"/>
        <w:gridCol w:w="528"/>
        <w:gridCol w:w="17"/>
        <w:gridCol w:w="871"/>
        <w:gridCol w:w="128"/>
        <w:gridCol w:w="441"/>
        <w:gridCol w:w="816"/>
        <w:gridCol w:w="444"/>
        <w:gridCol w:w="115"/>
        <w:gridCol w:w="859"/>
        <w:gridCol w:w="757"/>
      </w:tblGrid>
      <w:tr>
        <w:tblPrEx>
          <w:tblLayout w:type="fixed"/>
          <w:tblCellMar>
            <w:top w:w="0" w:type="dxa"/>
            <w:left w:w="108" w:type="dxa"/>
            <w:bottom w:w="0" w:type="dxa"/>
            <w:right w:w="108" w:type="dxa"/>
          </w:tblCellMar>
        </w:tblPrEx>
        <w:trPr>
          <w:trHeight w:val="615" w:hRule="atLeast"/>
          <w:jc w:val="center"/>
        </w:trPr>
        <w:tc>
          <w:tcPr>
            <w:tcW w:w="12544" w:type="dxa"/>
            <w:gridSpan w:val="23"/>
            <w:tcBorders>
              <w:top w:val="nil"/>
              <w:left w:val="nil"/>
              <w:bottom w:val="nil"/>
              <w:right w:val="nil"/>
            </w:tcBorders>
            <w:vAlign w:val="center"/>
          </w:tcPr>
          <w:p>
            <w:pPr>
              <w:widowControl/>
              <w:autoSpaceDE/>
              <w:autoSpaceDN/>
              <w:snapToGrid/>
              <w:spacing w:line="240" w:lineRule="auto"/>
              <w:ind w:firstLine="0"/>
              <w:jc w:val="center"/>
              <w:rPr>
                <w:rFonts w:ascii="宋体" w:hAnsi="宋体" w:eastAsia="宋体"/>
                <w:b/>
                <w:bCs/>
                <w:sz w:val="36"/>
                <w:szCs w:val="36"/>
              </w:rPr>
            </w:pPr>
            <w:bookmarkStart w:id="0" w:name="RANGE_A1_I13"/>
            <w:r>
              <w:rPr>
                <w:rFonts w:hint="eastAsia" w:ascii="宋体" w:hAnsi="宋体" w:eastAsia="宋体" w:cs="宋体"/>
                <w:b/>
                <w:bCs/>
                <w:sz w:val="36"/>
                <w:szCs w:val="36"/>
              </w:rPr>
              <w:t>收入决算表</w:t>
            </w:r>
            <w:bookmarkEnd w:id="0"/>
          </w:p>
        </w:tc>
      </w:tr>
      <w:tr>
        <w:tblPrEx>
          <w:tblLayout w:type="fixed"/>
          <w:tblCellMar>
            <w:top w:w="0" w:type="dxa"/>
            <w:left w:w="108" w:type="dxa"/>
            <w:bottom w:w="0" w:type="dxa"/>
            <w:right w:w="108" w:type="dxa"/>
          </w:tblCellMar>
        </w:tblPrEx>
        <w:trPr>
          <w:trHeight w:val="468" w:hRule="atLeast"/>
          <w:jc w:val="center"/>
        </w:trPr>
        <w:tc>
          <w:tcPr>
            <w:tcW w:w="1136" w:type="dxa"/>
            <w:tcBorders>
              <w:top w:val="nil"/>
              <w:left w:val="nil"/>
              <w:bottom w:val="nil"/>
              <w:right w:val="nil"/>
            </w:tcBorders>
            <w:vAlign w:val="center"/>
          </w:tcPr>
          <w:p>
            <w:pPr>
              <w:widowControl/>
              <w:autoSpaceDE/>
              <w:autoSpaceDN/>
              <w:snapToGrid/>
              <w:spacing w:line="240" w:lineRule="auto"/>
              <w:ind w:firstLine="0"/>
              <w:jc w:val="center"/>
              <w:rPr>
                <w:rFonts w:eastAsia="方正小标宋_GBK"/>
                <w:sz w:val="36"/>
                <w:szCs w:val="36"/>
              </w:rPr>
            </w:pPr>
          </w:p>
        </w:tc>
        <w:tc>
          <w:tcPr>
            <w:tcW w:w="1696" w:type="dxa"/>
            <w:gridSpan w:val="2"/>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416" w:type="dxa"/>
            <w:gridSpan w:val="4"/>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416" w:type="dxa"/>
            <w:gridSpan w:val="2"/>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416" w:type="dxa"/>
            <w:gridSpan w:val="3"/>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016" w:type="dxa"/>
            <w:gridSpan w:val="2"/>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016" w:type="dxa"/>
            <w:gridSpan w:val="3"/>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816" w:type="dxa"/>
            <w:gridSpan w:val="4"/>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616" w:type="dxa"/>
            <w:gridSpan w:val="2"/>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公开</w:t>
            </w:r>
            <w:r>
              <w:rPr>
                <w:rFonts w:eastAsia="宋体"/>
                <w:sz w:val="20"/>
                <w:szCs w:val="20"/>
              </w:rPr>
              <w:t>02</w:t>
            </w:r>
            <w:r>
              <w:rPr>
                <w:rFonts w:hint="eastAsia" w:eastAsia="宋体" w:cs="宋体"/>
                <w:sz w:val="20"/>
                <w:szCs w:val="20"/>
              </w:rPr>
              <w:t>表</w:t>
            </w:r>
          </w:p>
        </w:tc>
      </w:tr>
      <w:tr>
        <w:tblPrEx>
          <w:tblLayout w:type="fixed"/>
          <w:tblCellMar>
            <w:top w:w="0" w:type="dxa"/>
            <w:left w:w="108" w:type="dxa"/>
            <w:bottom w:w="0" w:type="dxa"/>
            <w:right w:w="108" w:type="dxa"/>
          </w:tblCellMar>
        </w:tblPrEx>
        <w:trPr>
          <w:trHeight w:val="319" w:hRule="atLeast"/>
          <w:jc w:val="center"/>
        </w:trPr>
        <w:tc>
          <w:tcPr>
            <w:tcW w:w="2832" w:type="dxa"/>
            <w:gridSpan w:val="3"/>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部门名称：海安市人民检察院</w:t>
            </w:r>
          </w:p>
        </w:tc>
        <w:tc>
          <w:tcPr>
            <w:tcW w:w="1416" w:type="dxa"/>
            <w:gridSpan w:val="4"/>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p>
        </w:tc>
        <w:tc>
          <w:tcPr>
            <w:tcW w:w="1416" w:type="dxa"/>
            <w:gridSpan w:val="2"/>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416" w:type="dxa"/>
            <w:gridSpan w:val="3"/>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016" w:type="dxa"/>
            <w:gridSpan w:val="2"/>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1016" w:type="dxa"/>
            <w:gridSpan w:val="3"/>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816" w:type="dxa"/>
            <w:gridSpan w:val="4"/>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616" w:type="dxa"/>
            <w:gridSpan w:val="2"/>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金额单位：万元</w:t>
            </w:r>
          </w:p>
        </w:tc>
      </w:tr>
      <w:tr>
        <w:tblPrEx>
          <w:tblLayout w:type="fixed"/>
          <w:tblCellMar>
            <w:top w:w="0" w:type="dxa"/>
            <w:left w:w="108" w:type="dxa"/>
            <w:bottom w:w="0" w:type="dxa"/>
            <w:right w:w="108" w:type="dxa"/>
          </w:tblCellMar>
        </w:tblPrEx>
        <w:trPr>
          <w:trHeight w:val="308" w:hRule="atLeast"/>
          <w:jc w:val="center"/>
        </w:trPr>
        <w:tc>
          <w:tcPr>
            <w:tcW w:w="2832" w:type="dxa"/>
            <w:gridSpan w:val="3"/>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项目</w:t>
            </w:r>
          </w:p>
        </w:tc>
        <w:tc>
          <w:tcPr>
            <w:tcW w:w="1416"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本年收入合计</w:t>
            </w:r>
          </w:p>
        </w:tc>
        <w:tc>
          <w:tcPr>
            <w:tcW w:w="14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财政拨款收入</w:t>
            </w:r>
          </w:p>
        </w:tc>
        <w:tc>
          <w:tcPr>
            <w:tcW w:w="141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上级补助收入</w:t>
            </w:r>
          </w:p>
        </w:tc>
        <w:tc>
          <w:tcPr>
            <w:tcW w:w="10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事业收入</w:t>
            </w:r>
          </w:p>
        </w:tc>
        <w:tc>
          <w:tcPr>
            <w:tcW w:w="101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经营收入</w:t>
            </w:r>
          </w:p>
        </w:tc>
        <w:tc>
          <w:tcPr>
            <w:tcW w:w="1816"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附属单位上缴收入</w:t>
            </w:r>
          </w:p>
        </w:tc>
        <w:tc>
          <w:tcPr>
            <w:tcW w:w="16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其他收入</w:t>
            </w:r>
          </w:p>
        </w:tc>
      </w:tr>
      <w:tr>
        <w:tblPrEx>
          <w:tblLayout w:type="fixed"/>
          <w:tblCellMar>
            <w:top w:w="0" w:type="dxa"/>
            <w:left w:w="108" w:type="dxa"/>
            <w:bottom w:w="0" w:type="dxa"/>
            <w:right w:w="108" w:type="dxa"/>
          </w:tblCellMar>
        </w:tblPrEx>
        <w:trPr>
          <w:trHeight w:val="431" w:hRule="atLeast"/>
          <w:jc w:val="center"/>
        </w:trPr>
        <w:tc>
          <w:tcPr>
            <w:tcW w:w="113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功能分类科目编码</w:t>
            </w:r>
          </w:p>
        </w:tc>
        <w:tc>
          <w:tcPr>
            <w:tcW w:w="1696"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科目名称</w:t>
            </w:r>
          </w:p>
        </w:tc>
        <w:tc>
          <w:tcPr>
            <w:tcW w:w="141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14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141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10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101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181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16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r>
      <w:tr>
        <w:tblPrEx>
          <w:tblLayout w:type="fixed"/>
          <w:tblCellMar>
            <w:top w:w="0" w:type="dxa"/>
            <w:left w:w="108" w:type="dxa"/>
            <w:bottom w:w="0" w:type="dxa"/>
            <w:right w:w="108" w:type="dxa"/>
          </w:tblCellMar>
        </w:tblPrEx>
        <w:trPr>
          <w:trHeight w:val="319" w:hRule="atLeast"/>
          <w:jc w:val="center"/>
        </w:trPr>
        <w:tc>
          <w:tcPr>
            <w:tcW w:w="2832" w:type="dxa"/>
            <w:gridSpan w:val="3"/>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合计</w:t>
            </w:r>
          </w:p>
        </w:tc>
        <w:tc>
          <w:tcPr>
            <w:tcW w:w="1416" w:type="dxa"/>
            <w:gridSpan w:val="4"/>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3956.56</w:t>
            </w:r>
          </w:p>
        </w:tc>
        <w:tc>
          <w:tcPr>
            <w:tcW w:w="1416" w:type="dxa"/>
            <w:gridSpan w:val="2"/>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3450.00</w:t>
            </w:r>
          </w:p>
        </w:tc>
        <w:tc>
          <w:tcPr>
            <w:tcW w:w="1416" w:type="dxa"/>
            <w:gridSpan w:val="3"/>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016" w:type="dxa"/>
            <w:gridSpan w:val="2"/>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016" w:type="dxa"/>
            <w:gridSpan w:val="3"/>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816" w:type="dxa"/>
            <w:gridSpan w:val="4"/>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616" w:type="dxa"/>
            <w:gridSpan w:val="2"/>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146.56</w:t>
            </w:r>
          </w:p>
        </w:tc>
      </w:tr>
      <w:tr>
        <w:tblPrEx>
          <w:tblLayout w:type="fixed"/>
          <w:tblCellMar>
            <w:top w:w="0" w:type="dxa"/>
            <w:left w:w="108" w:type="dxa"/>
            <w:bottom w:w="0" w:type="dxa"/>
            <w:right w:w="108" w:type="dxa"/>
          </w:tblCellMar>
        </w:tblPrEx>
        <w:trPr>
          <w:trHeight w:val="319" w:hRule="atLeast"/>
          <w:jc w:val="center"/>
        </w:trPr>
        <w:tc>
          <w:tcPr>
            <w:tcW w:w="1136" w:type="dxa"/>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w:t>
            </w:r>
          </w:p>
        </w:tc>
        <w:tc>
          <w:tcPr>
            <w:tcW w:w="169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公共安全支出</w:t>
            </w:r>
          </w:p>
        </w:tc>
        <w:tc>
          <w:tcPr>
            <w:tcW w:w="14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3241.84</w:t>
            </w:r>
          </w:p>
        </w:tc>
        <w:tc>
          <w:tcPr>
            <w:tcW w:w="14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3128.66</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8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6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113.18</w:t>
            </w:r>
          </w:p>
        </w:tc>
      </w:tr>
      <w:tr>
        <w:tblPrEx>
          <w:tblLayout w:type="fixed"/>
          <w:tblCellMar>
            <w:top w:w="0" w:type="dxa"/>
            <w:left w:w="108" w:type="dxa"/>
            <w:bottom w:w="0" w:type="dxa"/>
            <w:right w:w="108" w:type="dxa"/>
          </w:tblCellMar>
        </w:tblPrEx>
        <w:trPr>
          <w:trHeight w:val="319" w:hRule="atLeast"/>
          <w:jc w:val="center"/>
        </w:trPr>
        <w:tc>
          <w:tcPr>
            <w:tcW w:w="1136" w:type="dxa"/>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20404</w:t>
            </w:r>
          </w:p>
        </w:tc>
        <w:tc>
          <w:tcPr>
            <w:tcW w:w="169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检察</w:t>
            </w:r>
          </w:p>
        </w:tc>
        <w:tc>
          <w:tcPr>
            <w:tcW w:w="14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3241.84</w:t>
            </w:r>
          </w:p>
        </w:tc>
        <w:tc>
          <w:tcPr>
            <w:tcW w:w="14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3128.66</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8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6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113.18</w:t>
            </w:r>
          </w:p>
        </w:tc>
      </w:tr>
      <w:tr>
        <w:tblPrEx>
          <w:tblLayout w:type="fixed"/>
          <w:tblCellMar>
            <w:top w:w="0" w:type="dxa"/>
            <w:left w:w="108" w:type="dxa"/>
            <w:bottom w:w="0" w:type="dxa"/>
            <w:right w:w="108" w:type="dxa"/>
          </w:tblCellMar>
        </w:tblPrEx>
        <w:trPr>
          <w:trHeight w:val="319" w:hRule="atLeast"/>
          <w:jc w:val="center"/>
        </w:trPr>
        <w:tc>
          <w:tcPr>
            <w:tcW w:w="1136" w:type="dxa"/>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2040401</w:t>
            </w:r>
          </w:p>
        </w:tc>
        <w:tc>
          <w:tcPr>
            <w:tcW w:w="169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行政运行</w:t>
            </w:r>
          </w:p>
        </w:tc>
        <w:tc>
          <w:tcPr>
            <w:tcW w:w="14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1757.95</w:t>
            </w:r>
          </w:p>
        </w:tc>
        <w:tc>
          <w:tcPr>
            <w:tcW w:w="14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1757.95</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8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6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136" w:type="dxa"/>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2040402</w:t>
            </w:r>
          </w:p>
        </w:tc>
        <w:tc>
          <w:tcPr>
            <w:tcW w:w="169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16"/>
                <w:szCs w:val="16"/>
              </w:rPr>
            </w:pPr>
            <w:r>
              <w:rPr>
                <w:rFonts w:hint="eastAsia" w:eastAsia="宋体" w:cs="宋体"/>
                <w:sz w:val="16"/>
                <w:szCs w:val="16"/>
              </w:rPr>
              <w:t>一般行政管理事务</w:t>
            </w:r>
          </w:p>
        </w:tc>
        <w:tc>
          <w:tcPr>
            <w:tcW w:w="14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607.04</w:t>
            </w:r>
          </w:p>
        </w:tc>
        <w:tc>
          <w:tcPr>
            <w:tcW w:w="14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502.95</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8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6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104.09</w:t>
            </w:r>
          </w:p>
        </w:tc>
      </w:tr>
      <w:tr>
        <w:tblPrEx>
          <w:tblLayout w:type="fixed"/>
          <w:tblCellMar>
            <w:top w:w="0" w:type="dxa"/>
            <w:left w:w="108" w:type="dxa"/>
            <w:bottom w:w="0" w:type="dxa"/>
            <w:right w:w="108" w:type="dxa"/>
          </w:tblCellMar>
        </w:tblPrEx>
        <w:trPr>
          <w:trHeight w:val="319" w:hRule="atLeast"/>
          <w:jc w:val="center"/>
        </w:trPr>
        <w:tc>
          <w:tcPr>
            <w:tcW w:w="1136" w:type="dxa"/>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2040404</w:t>
            </w:r>
          </w:p>
        </w:tc>
        <w:tc>
          <w:tcPr>
            <w:tcW w:w="169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16"/>
                <w:szCs w:val="16"/>
              </w:rPr>
            </w:pPr>
            <w:r>
              <w:rPr>
                <w:rFonts w:hint="eastAsia" w:eastAsia="宋体" w:cs="宋体"/>
                <w:sz w:val="16"/>
                <w:szCs w:val="16"/>
              </w:rPr>
              <w:t>查办和预防职务犯罪</w:t>
            </w:r>
          </w:p>
        </w:tc>
        <w:tc>
          <w:tcPr>
            <w:tcW w:w="14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397.17</w:t>
            </w:r>
          </w:p>
        </w:tc>
        <w:tc>
          <w:tcPr>
            <w:tcW w:w="14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388.08</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8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6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9.09</w:t>
            </w:r>
          </w:p>
        </w:tc>
      </w:tr>
      <w:tr>
        <w:tblPrEx>
          <w:tblLayout w:type="fixed"/>
          <w:tblCellMar>
            <w:top w:w="0" w:type="dxa"/>
            <w:left w:w="108" w:type="dxa"/>
            <w:bottom w:w="0" w:type="dxa"/>
            <w:right w:w="108" w:type="dxa"/>
          </w:tblCellMar>
        </w:tblPrEx>
        <w:trPr>
          <w:trHeight w:val="319" w:hRule="atLeast"/>
          <w:jc w:val="center"/>
        </w:trPr>
        <w:tc>
          <w:tcPr>
            <w:tcW w:w="1136" w:type="dxa"/>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2040405</w:t>
            </w:r>
          </w:p>
        </w:tc>
        <w:tc>
          <w:tcPr>
            <w:tcW w:w="169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公诉和审判监督</w:t>
            </w:r>
          </w:p>
        </w:tc>
        <w:tc>
          <w:tcPr>
            <w:tcW w:w="14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5.30</w:t>
            </w:r>
          </w:p>
        </w:tc>
        <w:tc>
          <w:tcPr>
            <w:tcW w:w="14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5.30</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8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6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136" w:type="dxa"/>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2040408</w:t>
            </w:r>
          </w:p>
        </w:tc>
        <w:tc>
          <w:tcPr>
            <w:tcW w:w="169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控告申诉</w:t>
            </w:r>
          </w:p>
        </w:tc>
        <w:tc>
          <w:tcPr>
            <w:tcW w:w="14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6.60</w:t>
            </w:r>
          </w:p>
        </w:tc>
        <w:tc>
          <w:tcPr>
            <w:tcW w:w="14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6.60</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8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6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136" w:type="dxa"/>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2040409</w:t>
            </w:r>
          </w:p>
        </w:tc>
        <w:tc>
          <w:tcPr>
            <w:tcW w:w="169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两房建设</w:t>
            </w:r>
          </w:p>
        </w:tc>
        <w:tc>
          <w:tcPr>
            <w:tcW w:w="14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100.00</w:t>
            </w:r>
          </w:p>
        </w:tc>
        <w:tc>
          <w:tcPr>
            <w:tcW w:w="14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100.00</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8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6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136" w:type="dxa"/>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2040499</w:t>
            </w:r>
          </w:p>
        </w:tc>
        <w:tc>
          <w:tcPr>
            <w:tcW w:w="169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 xml:space="preserve"> </w:t>
            </w:r>
            <w:r>
              <w:rPr>
                <w:rFonts w:hint="eastAsia" w:eastAsia="宋体" w:cs="宋体"/>
                <w:sz w:val="20"/>
                <w:szCs w:val="20"/>
              </w:rPr>
              <w:t>其他检察支出</w:t>
            </w:r>
          </w:p>
        </w:tc>
        <w:tc>
          <w:tcPr>
            <w:tcW w:w="14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367.78</w:t>
            </w:r>
          </w:p>
        </w:tc>
        <w:tc>
          <w:tcPr>
            <w:tcW w:w="14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367.78</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8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6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136" w:type="dxa"/>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208</w:t>
            </w:r>
          </w:p>
        </w:tc>
        <w:tc>
          <w:tcPr>
            <w:tcW w:w="169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16"/>
                <w:szCs w:val="16"/>
              </w:rPr>
            </w:pPr>
            <w:r>
              <w:rPr>
                <w:rFonts w:hint="eastAsia" w:eastAsia="宋体" w:cs="宋体"/>
                <w:sz w:val="16"/>
                <w:szCs w:val="16"/>
              </w:rPr>
              <w:t>社会保障和就业支出</w:t>
            </w:r>
          </w:p>
        </w:tc>
        <w:tc>
          <w:tcPr>
            <w:tcW w:w="14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158.74</w:t>
            </w:r>
          </w:p>
        </w:tc>
        <w:tc>
          <w:tcPr>
            <w:tcW w:w="14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145.41</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8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6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13.33</w:t>
            </w:r>
          </w:p>
        </w:tc>
      </w:tr>
      <w:tr>
        <w:tblPrEx>
          <w:tblLayout w:type="fixed"/>
          <w:tblCellMar>
            <w:top w:w="0" w:type="dxa"/>
            <w:left w:w="108" w:type="dxa"/>
            <w:bottom w:w="0" w:type="dxa"/>
            <w:right w:w="108" w:type="dxa"/>
          </w:tblCellMar>
        </w:tblPrEx>
        <w:trPr>
          <w:trHeight w:val="319" w:hRule="atLeast"/>
          <w:jc w:val="center"/>
        </w:trPr>
        <w:tc>
          <w:tcPr>
            <w:tcW w:w="1136" w:type="dxa"/>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20805</w:t>
            </w:r>
          </w:p>
        </w:tc>
        <w:tc>
          <w:tcPr>
            <w:tcW w:w="169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15"/>
                <w:szCs w:val="15"/>
              </w:rPr>
            </w:pPr>
            <w:r>
              <w:rPr>
                <w:rFonts w:hint="eastAsia" w:eastAsia="宋体" w:cs="宋体"/>
                <w:sz w:val="15"/>
                <w:szCs w:val="15"/>
              </w:rPr>
              <w:t>行政事业单位离退休</w:t>
            </w:r>
          </w:p>
        </w:tc>
        <w:tc>
          <w:tcPr>
            <w:tcW w:w="14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158.74</w:t>
            </w:r>
          </w:p>
        </w:tc>
        <w:tc>
          <w:tcPr>
            <w:tcW w:w="14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145.41</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8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6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13.33</w:t>
            </w:r>
          </w:p>
        </w:tc>
      </w:tr>
      <w:tr>
        <w:tblPrEx>
          <w:tblLayout w:type="fixed"/>
          <w:tblCellMar>
            <w:top w:w="0" w:type="dxa"/>
            <w:left w:w="108" w:type="dxa"/>
            <w:bottom w:w="0" w:type="dxa"/>
            <w:right w:w="108" w:type="dxa"/>
          </w:tblCellMar>
        </w:tblPrEx>
        <w:trPr>
          <w:trHeight w:val="377" w:hRule="atLeast"/>
          <w:jc w:val="center"/>
        </w:trPr>
        <w:tc>
          <w:tcPr>
            <w:tcW w:w="1136" w:type="dxa"/>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2080505</w:t>
            </w:r>
          </w:p>
        </w:tc>
        <w:tc>
          <w:tcPr>
            <w:tcW w:w="169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15"/>
                <w:szCs w:val="15"/>
              </w:rPr>
            </w:pPr>
            <w:r>
              <w:rPr>
                <w:rFonts w:eastAsia="宋体"/>
                <w:sz w:val="15"/>
                <w:szCs w:val="15"/>
              </w:rPr>
              <w:t xml:space="preserve"> </w:t>
            </w:r>
            <w:r>
              <w:rPr>
                <w:rFonts w:hint="eastAsia" w:eastAsia="宋体" w:cs="宋体"/>
                <w:sz w:val="15"/>
                <w:szCs w:val="15"/>
              </w:rPr>
              <w:t>机关事业单位基本养老保险缴费支出★</w:t>
            </w:r>
          </w:p>
        </w:tc>
        <w:tc>
          <w:tcPr>
            <w:tcW w:w="14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158.74</w:t>
            </w:r>
          </w:p>
        </w:tc>
        <w:tc>
          <w:tcPr>
            <w:tcW w:w="14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145.41</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8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6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13.33</w:t>
            </w:r>
          </w:p>
        </w:tc>
      </w:tr>
      <w:tr>
        <w:tblPrEx>
          <w:tblLayout w:type="fixed"/>
          <w:tblCellMar>
            <w:top w:w="0" w:type="dxa"/>
            <w:left w:w="108" w:type="dxa"/>
            <w:bottom w:w="0" w:type="dxa"/>
            <w:right w:w="108" w:type="dxa"/>
          </w:tblCellMar>
        </w:tblPrEx>
        <w:trPr>
          <w:trHeight w:val="319" w:hRule="atLeast"/>
          <w:jc w:val="center"/>
        </w:trPr>
        <w:tc>
          <w:tcPr>
            <w:tcW w:w="113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221</w:t>
            </w:r>
          </w:p>
        </w:tc>
        <w:tc>
          <w:tcPr>
            <w:tcW w:w="1696"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住房保障支出</w:t>
            </w:r>
          </w:p>
        </w:tc>
        <w:tc>
          <w:tcPr>
            <w:tcW w:w="1416"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195.98</w:t>
            </w:r>
          </w:p>
        </w:tc>
        <w:tc>
          <w:tcPr>
            <w:tcW w:w="1416"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175.93</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016"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016"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816"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616"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20.05</w:t>
            </w:r>
          </w:p>
        </w:tc>
      </w:tr>
      <w:tr>
        <w:tblPrEx>
          <w:tblLayout w:type="fixed"/>
          <w:tblCellMar>
            <w:top w:w="0" w:type="dxa"/>
            <w:left w:w="108" w:type="dxa"/>
            <w:bottom w:w="0" w:type="dxa"/>
            <w:right w:w="108" w:type="dxa"/>
          </w:tblCellMar>
        </w:tblPrEx>
        <w:trPr>
          <w:trHeight w:val="319" w:hRule="atLeast"/>
          <w:jc w:val="center"/>
        </w:trPr>
        <w:tc>
          <w:tcPr>
            <w:tcW w:w="113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22102</w:t>
            </w:r>
          </w:p>
        </w:tc>
        <w:tc>
          <w:tcPr>
            <w:tcW w:w="1696"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住房改革支出</w:t>
            </w:r>
          </w:p>
        </w:tc>
        <w:tc>
          <w:tcPr>
            <w:tcW w:w="1416"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195.98</w:t>
            </w:r>
          </w:p>
        </w:tc>
        <w:tc>
          <w:tcPr>
            <w:tcW w:w="1416"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175.93</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016"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016"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816"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616"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20.05</w:t>
            </w:r>
          </w:p>
        </w:tc>
      </w:tr>
      <w:tr>
        <w:tblPrEx>
          <w:tblLayout w:type="fixed"/>
          <w:tblCellMar>
            <w:top w:w="0" w:type="dxa"/>
            <w:left w:w="108" w:type="dxa"/>
            <w:bottom w:w="0" w:type="dxa"/>
            <w:right w:w="108" w:type="dxa"/>
          </w:tblCellMar>
        </w:tblPrEx>
        <w:trPr>
          <w:trHeight w:val="319" w:hRule="atLeast"/>
          <w:jc w:val="center"/>
        </w:trPr>
        <w:tc>
          <w:tcPr>
            <w:tcW w:w="1136"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2210201</w:t>
            </w:r>
          </w:p>
        </w:tc>
        <w:tc>
          <w:tcPr>
            <w:tcW w:w="1696"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住房公积金</w:t>
            </w:r>
          </w:p>
        </w:tc>
        <w:tc>
          <w:tcPr>
            <w:tcW w:w="1416"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166.28</w:t>
            </w:r>
          </w:p>
        </w:tc>
        <w:tc>
          <w:tcPr>
            <w:tcW w:w="1416"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148.55</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016"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016"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816"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616"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17.73</w:t>
            </w:r>
          </w:p>
        </w:tc>
      </w:tr>
      <w:tr>
        <w:tblPrEx>
          <w:tblLayout w:type="fixed"/>
          <w:tblCellMar>
            <w:top w:w="0" w:type="dxa"/>
            <w:left w:w="108" w:type="dxa"/>
            <w:bottom w:w="0" w:type="dxa"/>
            <w:right w:w="108" w:type="dxa"/>
          </w:tblCellMar>
        </w:tblPrEx>
        <w:trPr>
          <w:trHeight w:val="319" w:hRule="atLeast"/>
          <w:jc w:val="center"/>
        </w:trPr>
        <w:tc>
          <w:tcPr>
            <w:tcW w:w="1136" w:type="dxa"/>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2210202</w:t>
            </w:r>
          </w:p>
        </w:tc>
        <w:tc>
          <w:tcPr>
            <w:tcW w:w="1696" w:type="dxa"/>
            <w:gridSpan w:val="2"/>
            <w:tcBorders>
              <w:top w:val="nil"/>
              <w:left w:val="nil"/>
              <w:bottom w:val="single" w:color="auto" w:sz="4" w:space="0"/>
              <w:right w:val="single" w:color="auto" w:sz="4" w:space="0"/>
            </w:tcBorders>
            <w:vAlign w:val="center"/>
          </w:tcPr>
          <w:p>
            <w:pPr>
              <w:spacing w:line="200" w:lineRule="exact"/>
              <w:ind w:firstLine="0"/>
              <w:jc w:val="center"/>
              <w:rPr>
                <w:rFonts w:eastAsia="宋体"/>
                <w:sz w:val="20"/>
                <w:szCs w:val="20"/>
              </w:rPr>
            </w:pPr>
            <w:r>
              <w:rPr>
                <w:rFonts w:hint="eastAsia" w:eastAsia="宋体" w:cs="宋体"/>
                <w:sz w:val="20"/>
                <w:szCs w:val="20"/>
              </w:rPr>
              <w:t>提租补贴</w:t>
            </w:r>
          </w:p>
        </w:tc>
        <w:tc>
          <w:tcPr>
            <w:tcW w:w="14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29.70</w:t>
            </w:r>
          </w:p>
        </w:tc>
        <w:tc>
          <w:tcPr>
            <w:tcW w:w="14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27.38</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0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816" w:type="dxa"/>
            <w:gridSpan w:val="4"/>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616"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2.32</w:t>
            </w:r>
          </w:p>
        </w:tc>
      </w:tr>
      <w:tr>
        <w:tblPrEx>
          <w:tblLayout w:type="fixed"/>
          <w:tblCellMar>
            <w:top w:w="0" w:type="dxa"/>
            <w:left w:w="108" w:type="dxa"/>
            <w:bottom w:w="0" w:type="dxa"/>
            <w:right w:w="108" w:type="dxa"/>
          </w:tblCellMar>
        </w:tblPrEx>
        <w:trPr>
          <w:gridAfter w:val="1"/>
          <w:wAfter w:w="757" w:type="dxa"/>
          <w:trHeight w:val="761" w:hRule="atLeast"/>
          <w:jc w:val="center"/>
        </w:trPr>
        <w:tc>
          <w:tcPr>
            <w:tcW w:w="11787" w:type="dxa"/>
            <w:gridSpan w:val="22"/>
            <w:tcBorders>
              <w:top w:val="nil"/>
              <w:left w:val="nil"/>
              <w:bottom w:val="nil"/>
              <w:right w:val="nil"/>
            </w:tcBorders>
            <w:vAlign w:val="center"/>
          </w:tcPr>
          <w:p>
            <w:pPr>
              <w:widowControl/>
              <w:autoSpaceDE/>
              <w:autoSpaceDN/>
              <w:snapToGrid/>
              <w:spacing w:line="240" w:lineRule="auto"/>
              <w:ind w:firstLine="0"/>
              <w:jc w:val="center"/>
              <w:rPr>
                <w:rFonts w:ascii="宋体" w:hAnsi="宋体" w:eastAsia="宋体"/>
                <w:b/>
                <w:bCs/>
                <w:sz w:val="36"/>
                <w:szCs w:val="36"/>
              </w:rPr>
            </w:pPr>
            <w:bookmarkStart w:id="1" w:name="RANGE_A1_H13"/>
            <w:r>
              <w:rPr>
                <w:rFonts w:hint="eastAsia" w:ascii="宋体" w:hAnsi="宋体" w:eastAsia="宋体" w:cs="宋体"/>
                <w:b/>
                <w:bCs/>
                <w:sz w:val="36"/>
                <w:szCs w:val="36"/>
              </w:rPr>
              <w:t>支出决算表</w:t>
            </w:r>
            <w:bookmarkEnd w:id="1"/>
          </w:p>
        </w:tc>
      </w:tr>
      <w:tr>
        <w:tblPrEx>
          <w:tblLayout w:type="fixed"/>
          <w:tblCellMar>
            <w:top w:w="0" w:type="dxa"/>
            <w:left w:w="108" w:type="dxa"/>
            <w:bottom w:w="0" w:type="dxa"/>
            <w:right w:w="108" w:type="dxa"/>
          </w:tblCellMar>
        </w:tblPrEx>
        <w:trPr>
          <w:gridAfter w:val="1"/>
          <w:wAfter w:w="757" w:type="dxa"/>
          <w:trHeight w:val="319" w:hRule="atLeast"/>
          <w:jc w:val="center"/>
        </w:trPr>
        <w:tc>
          <w:tcPr>
            <w:tcW w:w="1156" w:type="dxa"/>
            <w:gridSpan w:val="2"/>
            <w:tcBorders>
              <w:top w:val="nil"/>
              <w:left w:val="nil"/>
              <w:bottom w:val="nil"/>
              <w:right w:val="nil"/>
            </w:tcBorders>
            <w:vAlign w:val="bottom"/>
          </w:tcPr>
          <w:p>
            <w:pPr>
              <w:widowControl/>
              <w:autoSpaceDE/>
              <w:autoSpaceDN/>
              <w:snapToGrid/>
              <w:spacing w:line="200" w:lineRule="exact"/>
              <w:ind w:firstLine="0"/>
              <w:jc w:val="center"/>
              <w:rPr>
                <w:rFonts w:eastAsia="方正小标宋_GBK"/>
                <w:sz w:val="36"/>
                <w:szCs w:val="36"/>
              </w:rPr>
            </w:pPr>
          </w:p>
        </w:tc>
        <w:tc>
          <w:tcPr>
            <w:tcW w:w="2126" w:type="dxa"/>
            <w:gridSpan w:val="3"/>
            <w:tcBorders>
              <w:top w:val="nil"/>
              <w:left w:val="nil"/>
              <w:bottom w:val="nil"/>
              <w:right w:val="nil"/>
            </w:tcBorders>
            <w:vAlign w:val="bottom"/>
          </w:tcPr>
          <w:p>
            <w:pPr>
              <w:widowControl/>
              <w:autoSpaceDE/>
              <w:autoSpaceDN/>
              <w:snapToGrid/>
              <w:spacing w:line="200" w:lineRule="exact"/>
              <w:ind w:firstLine="0"/>
              <w:jc w:val="left"/>
              <w:rPr>
                <w:rFonts w:eastAsia="宋体"/>
                <w:sz w:val="20"/>
                <w:szCs w:val="20"/>
              </w:rPr>
            </w:pPr>
          </w:p>
        </w:tc>
        <w:tc>
          <w:tcPr>
            <w:tcW w:w="1417" w:type="dxa"/>
            <w:gridSpan w:val="3"/>
            <w:tcBorders>
              <w:top w:val="nil"/>
              <w:left w:val="nil"/>
              <w:bottom w:val="nil"/>
              <w:right w:val="nil"/>
            </w:tcBorders>
            <w:vAlign w:val="bottom"/>
          </w:tcPr>
          <w:p>
            <w:pPr>
              <w:widowControl/>
              <w:autoSpaceDE/>
              <w:autoSpaceDN/>
              <w:snapToGrid/>
              <w:spacing w:line="200" w:lineRule="exact"/>
              <w:ind w:firstLine="0"/>
              <w:jc w:val="left"/>
              <w:rPr>
                <w:rFonts w:eastAsia="Times New Roman"/>
                <w:sz w:val="20"/>
                <w:szCs w:val="20"/>
              </w:rPr>
            </w:pPr>
          </w:p>
        </w:tc>
        <w:tc>
          <w:tcPr>
            <w:tcW w:w="1418" w:type="dxa"/>
            <w:gridSpan w:val="2"/>
            <w:tcBorders>
              <w:top w:val="nil"/>
              <w:left w:val="nil"/>
              <w:bottom w:val="nil"/>
              <w:right w:val="nil"/>
            </w:tcBorders>
            <w:vAlign w:val="bottom"/>
          </w:tcPr>
          <w:p>
            <w:pPr>
              <w:widowControl/>
              <w:autoSpaceDE/>
              <w:autoSpaceDN/>
              <w:snapToGrid/>
              <w:spacing w:line="200" w:lineRule="exact"/>
              <w:ind w:firstLine="0"/>
              <w:jc w:val="left"/>
              <w:rPr>
                <w:rFonts w:eastAsia="Times New Roman"/>
                <w:sz w:val="20"/>
                <w:szCs w:val="20"/>
              </w:rPr>
            </w:pPr>
          </w:p>
        </w:tc>
        <w:tc>
          <w:tcPr>
            <w:tcW w:w="1451" w:type="dxa"/>
            <w:gridSpan w:val="3"/>
            <w:tcBorders>
              <w:top w:val="nil"/>
              <w:left w:val="nil"/>
              <w:bottom w:val="nil"/>
              <w:right w:val="nil"/>
            </w:tcBorders>
            <w:vAlign w:val="bottom"/>
          </w:tcPr>
          <w:p>
            <w:pPr>
              <w:widowControl/>
              <w:autoSpaceDE/>
              <w:autoSpaceDN/>
              <w:snapToGrid/>
              <w:spacing w:line="200" w:lineRule="exact"/>
              <w:ind w:firstLine="0"/>
              <w:jc w:val="left"/>
              <w:rPr>
                <w:rFonts w:eastAsia="Times New Roman"/>
                <w:sz w:val="20"/>
                <w:szCs w:val="20"/>
              </w:rPr>
            </w:pPr>
          </w:p>
        </w:tc>
        <w:tc>
          <w:tcPr>
            <w:tcW w:w="1416" w:type="dxa"/>
            <w:gridSpan w:val="3"/>
            <w:tcBorders>
              <w:top w:val="nil"/>
              <w:left w:val="nil"/>
              <w:bottom w:val="nil"/>
              <w:right w:val="nil"/>
            </w:tcBorders>
            <w:vAlign w:val="bottom"/>
          </w:tcPr>
          <w:p>
            <w:pPr>
              <w:widowControl/>
              <w:autoSpaceDE/>
              <w:autoSpaceDN/>
              <w:snapToGrid/>
              <w:spacing w:line="200" w:lineRule="exact"/>
              <w:ind w:firstLine="0"/>
              <w:jc w:val="left"/>
              <w:rPr>
                <w:rFonts w:eastAsia="Times New Roman"/>
                <w:sz w:val="20"/>
                <w:szCs w:val="20"/>
              </w:rPr>
            </w:pPr>
          </w:p>
        </w:tc>
        <w:tc>
          <w:tcPr>
            <w:tcW w:w="1385" w:type="dxa"/>
            <w:gridSpan w:val="3"/>
            <w:tcBorders>
              <w:top w:val="nil"/>
              <w:left w:val="nil"/>
              <w:bottom w:val="nil"/>
              <w:right w:val="nil"/>
            </w:tcBorders>
            <w:vAlign w:val="bottom"/>
          </w:tcPr>
          <w:p>
            <w:pPr>
              <w:widowControl/>
              <w:autoSpaceDE/>
              <w:autoSpaceDN/>
              <w:snapToGrid/>
              <w:spacing w:line="200" w:lineRule="exact"/>
              <w:ind w:firstLine="0"/>
              <w:jc w:val="left"/>
              <w:rPr>
                <w:rFonts w:eastAsia="Times New Roman"/>
                <w:sz w:val="20"/>
                <w:szCs w:val="20"/>
              </w:rPr>
            </w:pPr>
          </w:p>
        </w:tc>
        <w:tc>
          <w:tcPr>
            <w:tcW w:w="1418" w:type="dxa"/>
            <w:gridSpan w:val="3"/>
            <w:tcBorders>
              <w:top w:val="nil"/>
              <w:left w:val="nil"/>
              <w:bottom w:val="nil"/>
              <w:right w:val="nil"/>
            </w:tcBorders>
            <w:vAlign w:val="bottom"/>
          </w:tcPr>
          <w:p>
            <w:pPr>
              <w:widowControl/>
              <w:autoSpaceDE/>
              <w:autoSpaceDN/>
              <w:snapToGrid/>
              <w:spacing w:line="200" w:lineRule="exact"/>
              <w:ind w:firstLine="0"/>
              <w:jc w:val="right"/>
              <w:rPr>
                <w:rFonts w:eastAsia="宋体"/>
                <w:sz w:val="20"/>
                <w:szCs w:val="20"/>
              </w:rPr>
            </w:pPr>
            <w:r>
              <w:rPr>
                <w:rFonts w:hint="eastAsia" w:eastAsia="宋体" w:cs="宋体"/>
                <w:sz w:val="20"/>
                <w:szCs w:val="20"/>
              </w:rPr>
              <w:t>公开</w:t>
            </w:r>
            <w:r>
              <w:rPr>
                <w:rFonts w:eastAsia="宋体"/>
                <w:sz w:val="20"/>
                <w:szCs w:val="20"/>
              </w:rPr>
              <w:t>03</w:t>
            </w:r>
            <w:r>
              <w:rPr>
                <w:rFonts w:hint="eastAsia" w:eastAsia="宋体" w:cs="宋体"/>
                <w:sz w:val="20"/>
                <w:szCs w:val="20"/>
              </w:rPr>
              <w:t>表</w:t>
            </w:r>
          </w:p>
        </w:tc>
      </w:tr>
      <w:tr>
        <w:tblPrEx>
          <w:tblLayout w:type="fixed"/>
          <w:tblCellMar>
            <w:top w:w="0" w:type="dxa"/>
            <w:left w:w="108" w:type="dxa"/>
            <w:bottom w:w="0" w:type="dxa"/>
            <w:right w:w="108" w:type="dxa"/>
          </w:tblCellMar>
        </w:tblPrEx>
        <w:trPr>
          <w:gridAfter w:val="1"/>
          <w:wAfter w:w="757" w:type="dxa"/>
          <w:trHeight w:val="319" w:hRule="atLeast"/>
          <w:jc w:val="center"/>
        </w:trPr>
        <w:tc>
          <w:tcPr>
            <w:tcW w:w="3282" w:type="dxa"/>
            <w:gridSpan w:val="5"/>
            <w:tcBorders>
              <w:top w:val="nil"/>
              <w:left w:val="nil"/>
              <w:bottom w:val="nil"/>
              <w:right w:val="nil"/>
            </w:tcBorders>
            <w:vAlign w:val="bottom"/>
          </w:tcPr>
          <w:p>
            <w:pPr>
              <w:widowControl/>
              <w:autoSpaceDE/>
              <w:autoSpaceDN/>
              <w:snapToGrid/>
              <w:spacing w:line="200" w:lineRule="exact"/>
              <w:ind w:firstLine="0"/>
              <w:jc w:val="left"/>
              <w:rPr>
                <w:rFonts w:eastAsia="宋体"/>
                <w:sz w:val="20"/>
                <w:szCs w:val="20"/>
              </w:rPr>
            </w:pPr>
            <w:r>
              <w:rPr>
                <w:rFonts w:hint="eastAsia" w:eastAsia="宋体" w:cs="宋体"/>
                <w:sz w:val="20"/>
                <w:szCs w:val="20"/>
              </w:rPr>
              <w:t>部门名称：海安市人民检察院</w:t>
            </w:r>
          </w:p>
        </w:tc>
        <w:tc>
          <w:tcPr>
            <w:tcW w:w="1417" w:type="dxa"/>
            <w:gridSpan w:val="3"/>
            <w:tcBorders>
              <w:top w:val="nil"/>
              <w:left w:val="nil"/>
              <w:bottom w:val="nil"/>
              <w:right w:val="nil"/>
            </w:tcBorders>
            <w:vAlign w:val="bottom"/>
          </w:tcPr>
          <w:p>
            <w:pPr>
              <w:widowControl/>
              <w:autoSpaceDE/>
              <w:autoSpaceDN/>
              <w:snapToGrid/>
              <w:spacing w:line="200" w:lineRule="exact"/>
              <w:ind w:firstLine="0"/>
              <w:jc w:val="left"/>
              <w:rPr>
                <w:rFonts w:eastAsia="宋体"/>
                <w:sz w:val="20"/>
                <w:szCs w:val="20"/>
              </w:rPr>
            </w:pPr>
          </w:p>
        </w:tc>
        <w:tc>
          <w:tcPr>
            <w:tcW w:w="1418" w:type="dxa"/>
            <w:gridSpan w:val="2"/>
            <w:tcBorders>
              <w:top w:val="nil"/>
              <w:left w:val="nil"/>
              <w:bottom w:val="nil"/>
              <w:right w:val="nil"/>
            </w:tcBorders>
            <w:vAlign w:val="bottom"/>
          </w:tcPr>
          <w:p>
            <w:pPr>
              <w:widowControl/>
              <w:autoSpaceDE/>
              <w:autoSpaceDN/>
              <w:snapToGrid/>
              <w:spacing w:line="200" w:lineRule="exact"/>
              <w:ind w:firstLine="0"/>
              <w:jc w:val="left"/>
              <w:rPr>
                <w:rFonts w:eastAsia="Times New Roman"/>
                <w:sz w:val="20"/>
                <w:szCs w:val="20"/>
              </w:rPr>
            </w:pPr>
          </w:p>
        </w:tc>
        <w:tc>
          <w:tcPr>
            <w:tcW w:w="1451" w:type="dxa"/>
            <w:gridSpan w:val="3"/>
            <w:tcBorders>
              <w:top w:val="nil"/>
              <w:left w:val="nil"/>
              <w:bottom w:val="nil"/>
              <w:right w:val="nil"/>
            </w:tcBorders>
            <w:vAlign w:val="bottom"/>
          </w:tcPr>
          <w:p>
            <w:pPr>
              <w:widowControl/>
              <w:autoSpaceDE/>
              <w:autoSpaceDN/>
              <w:snapToGrid/>
              <w:spacing w:line="200" w:lineRule="exact"/>
              <w:ind w:firstLine="0"/>
              <w:jc w:val="center"/>
              <w:rPr>
                <w:rFonts w:eastAsia="Times New Roman"/>
                <w:sz w:val="20"/>
                <w:szCs w:val="20"/>
              </w:rPr>
            </w:pPr>
          </w:p>
        </w:tc>
        <w:tc>
          <w:tcPr>
            <w:tcW w:w="1416" w:type="dxa"/>
            <w:gridSpan w:val="3"/>
            <w:tcBorders>
              <w:top w:val="nil"/>
              <w:left w:val="nil"/>
              <w:bottom w:val="nil"/>
              <w:right w:val="nil"/>
            </w:tcBorders>
            <w:vAlign w:val="bottom"/>
          </w:tcPr>
          <w:p>
            <w:pPr>
              <w:widowControl/>
              <w:autoSpaceDE/>
              <w:autoSpaceDN/>
              <w:snapToGrid/>
              <w:spacing w:line="200" w:lineRule="exact"/>
              <w:ind w:firstLine="0"/>
              <w:jc w:val="left"/>
              <w:rPr>
                <w:rFonts w:eastAsia="Times New Roman"/>
                <w:sz w:val="20"/>
                <w:szCs w:val="20"/>
              </w:rPr>
            </w:pPr>
          </w:p>
        </w:tc>
        <w:tc>
          <w:tcPr>
            <w:tcW w:w="1385" w:type="dxa"/>
            <w:gridSpan w:val="3"/>
            <w:tcBorders>
              <w:top w:val="nil"/>
              <w:left w:val="nil"/>
              <w:bottom w:val="nil"/>
              <w:right w:val="nil"/>
            </w:tcBorders>
            <w:vAlign w:val="bottom"/>
          </w:tcPr>
          <w:p>
            <w:pPr>
              <w:widowControl/>
              <w:autoSpaceDE/>
              <w:autoSpaceDN/>
              <w:snapToGrid/>
              <w:spacing w:line="200" w:lineRule="exact"/>
              <w:ind w:firstLine="0"/>
              <w:jc w:val="left"/>
              <w:rPr>
                <w:rFonts w:eastAsia="Times New Roman"/>
                <w:sz w:val="20"/>
                <w:szCs w:val="20"/>
              </w:rPr>
            </w:pPr>
          </w:p>
        </w:tc>
        <w:tc>
          <w:tcPr>
            <w:tcW w:w="1418" w:type="dxa"/>
            <w:gridSpan w:val="3"/>
            <w:tcBorders>
              <w:top w:val="nil"/>
              <w:left w:val="nil"/>
              <w:bottom w:val="nil"/>
              <w:right w:val="nil"/>
            </w:tcBorders>
            <w:vAlign w:val="bottom"/>
          </w:tcPr>
          <w:p>
            <w:pPr>
              <w:widowControl/>
              <w:autoSpaceDE/>
              <w:autoSpaceDN/>
              <w:snapToGrid/>
              <w:spacing w:line="200" w:lineRule="exact"/>
              <w:ind w:firstLine="0"/>
              <w:jc w:val="right"/>
              <w:rPr>
                <w:rFonts w:eastAsia="宋体"/>
                <w:sz w:val="16"/>
                <w:szCs w:val="16"/>
              </w:rPr>
            </w:pPr>
            <w:r>
              <w:rPr>
                <w:rFonts w:hint="eastAsia" w:eastAsia="宋体" w:cs="宋体"/>
                <w:sz w:val="16"/>
                <w:szCs w:val="16"/>
              </w:rPr>
              <w:t>金额单位：万元</w:t>
            </w:r>
          </w:p>
        </w:tc>
      </w:tr>
      <w:tr>
        <w:tblPrEx>
          <w:tblLayout w:type="fixed"/>
          <w:tblCellMar>
            <w:top w:w="0" w:type="dxa"/>
            <w:left w:w="108" w:type="dxa"/>
            <w:bottom w:w="0" w:type="dxa"/>
            <w:right w:w="108" w:type="dxa"/>
          </w:tblCellMar>
        </w:tblPrEx>
        <w:trPr>
          <w:gridAfter w:val="1"/>
          <w:wAfter w:w="757" w:type="dxa"/>
          <w:trHeight w:val="319" w:hRule="atLeast"/>
          <w:jc w:val="center"/>
        </w:trPr>
        <w:tc>
          <w:tcPr>
            <w:tcW w:w="3282" w:type="dxa"/>
            <w:gridSpan w:val="5"/>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项目</w:t>
            </w:r>
          </w:p>
        </w:tc>
        <w:tc>
          <w:tcPr>
            <w:tcW w:w="141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本年支出合计</w:t>
            </w:r>
          </w:p>
        </w:tc>
        <w:tc>
          <w:tcPr>
            <w:tcW w:w="141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基本支出</w:t>
            </w:r>
          </w:p>
        </w:tc>
        <w:tc>
          <w:tcPr>
            <w:tcW w:w="145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项目支出</w:t>
            </w:r>
          </w:p>
        </w:tc>
        <w:tc>
          <w:tcPr>
            <w:tcW w:w="141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上缴上级支出</w:t>
            </w:r>
          </w:p>
        </w:tc>
        <w:tc>
          <w:tcPr>
            <w:tcW w:w="138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经营支出</w:t>
            </w:r>
          </w:p>
        </w:tc>
        <w:tc>
          <w:tcPr>
            <w:tcW w:w="141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对附属单位补助支出</w:t>
            </w:r>
          </w:p>
        </w:tc>
      </w:tr>
      <w:tr>
        <w:tblPrEx>
          <w:tblLayout w:type="fixed"/>
          <w:tblCellMar>
            <w:top w:w="0" w:type="dxa"/>
            <w:left w:w="108" w:type="dxa"/>
            <w:bottom w:w="0" w:type="dxa"/>
            <w:right w:w="108" w:type="dxa"/>
          </w:tblCellMar>
        </w:tblPrEx>
        <w:trPr>
          <w:gridAfter w:val="1"/>
          <w:wAfter w:w="757" w:type="dxa"/>
          <w:trHeight w:val="642" w:hRule="atLeast"/>
          <w:jc w:val="center"/>
        </w:trPr>
        <w:tc>
          <w:tcPr>
            <w:tcW w:w="1156"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功能分类科目编码</w:t>
            </w:r>
          </w:p>
        </w:tc>
        <w:tc>
          <w:tcPr>
            <w:tcW w:w="212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科目名称</w:t>
            </w:r>
          </w:p>
        </w:tc>
        <w:tc>
          <w:tcPr>
            <w:tcW w:w="14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left"/>
              <w:rPr>
                <w:rFonts w:eastAsia="宋体"/>
                <w:sz w:val="20"/>
                <w:szCs w:val="20"/>
              </w:rPr>
            </w:pPr>
          </w:p>
        </w:tc>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left"/>
              <w:rPr>
                <w:rFonts w:eastAsia="宋体"/>
                <w:sz w:val="20"/>
                <w:szCs w:val="20"/>
              </w:rPr>
            </w:pPr>
          </w:p>
        </w:tc>
        <w:tc>
          <w:tcPr>
            <w:tcW w:w="145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left"/>
              <w:rPr>
                <w:rFonts w:eastAsia="宋体"/>
                <w:sz w:val="20"/>
                <w:szCs w:val="20"/>
              </w:rPr>
            </w:pPr>
          </w:p>
        </w:tc>
        <w:tc>
          <w:tcPr>
            <w:tcW w:w="141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left"/>
              <w:rPr>
                <w:rFonts w:eastAsia="宋体"/>
                <w:sz w:val="20"/>
                <w:szCs w:val="20"/>
              </w:rPr>
            </w:pPr>
          </w:p>
        </w:tc>
        <w:tc>
          <w:tcPr>
            <w:tcW w:w="138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left"/>
              <w:rPr>
                <w:rFonts w:eastAsia="宋体"/>
                <w:sz w:val="20"/>
                <w:szCs w:val="20"/>
              </w:rPr>
            </w:pPr>
          </w:p>
        </w:tc>
        <w:tc>
          <w:tcPr>
            <w:tcW w:w="141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left"/>
              <w:rPr>
                <w:rFonts w:eastAsia="宋体"/>
                <w:sz w:val="20"/>
                <w:szCs w:val="20"/>
              </w:rPr>
            </w:pPr>
          </w:p>
        </w:tc>
      </w:tr>
      <w:tr>
        <w:tblPrEx>
          <w:tblLayout w:type="fixed"/>
          <w:tblCellMar>
            <w:top w:w="0" w:type="dxa"/>
            <w:left w:w="108" w:type="dxa"/>
            <w:bottom w:w="0" w:type="dxa"/>
            <w:right w:w="108" w:type="dxa"/>
          </w:tblCellMar>
        </w:tblPrEx>
        <w:trPr>
          <w:gridAfter w:val="1"/>
          <w:wAfter w:w="757" w:type="dxa"/>
          <w:trHeight w:val="319" w:hRule="atLeast"/>
          <w:jc w:val="center"/>
        </w:trPr>
        <w:tc>
          <w:tcPr>
            <w:tcW w:w="3282" w:type="dxa"/>
            <w:gridSpan w:val="5"/>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left"/>
              <w:rPr>
                <w:rFonts w:eastAsia="宋体"/>
                <w:sz w:val="20"/>
                <w:szCs w:val="20"/>
              </w:rPr>
            </w:pPr>
            <w:r>
              <w:rPr>
                <w:rFonts w:hint="eastAsia" w:eastAsia="宋体" w:cs="宋体"/>
                <w:sz w:val="20"/>
                <w:szCs w:val="20"/>
              </w:rPr>
              <w:t>　</w:t>
            </w:r>
            <w:r>
              <w:rPr>
                <w:rFonts w:eastAsia="宋体"/>
                <w:sz w:val="20"/>
                <w:szCs w:val="20"/>
              </w:rPr>
              <w:t xml:space="preserve">         </w:t>
            </w:r>
            <w:r>
              <w:rPr>
                <w:rFonts w:hint="eastAsia" w:eastAsia="宋体" w:cs="宋体"/>
                <w:sz w:val="20"/>
                <w:szCs w:val="20"/>
              </w:rPr>
              <w:t>合计</w:t>
            </w:r>
          </w:p>
        </w:tc>
        <w:tc>
          <w:tcPr>
            <w:tcW w:w="1417"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3597.76</w:t>
            </w:r>
          </w:p>
        </w:tc>
        <w:tc>
          <w:tcPr>
            <w:tcW w:w="1418"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2376.96</w:t>
            </w:r>
          </w:p>
        </w:tc>
        <w:tc>
          <w:tcPr>
            <w:tcW w:w="1451"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1220.80</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385"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8"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757" w:type="dxa"/>
          <w:trHeight w:val="319" w:hRule="atLeast"/>
          <w:jc w:val="center"/>
        </w:trPr>
        <w:tc>
          <w:tcPr>
            <w:tcW w:w="1156"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w:t>
            </w:r>
          </w:p>
        </w:tc>
        <w:tc>
          <w:tcPr>
            <w:tcW w:w="212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公共安全支出</w:t>
            </w:r>
          </w:p>
        </w:tc>
        <w:tc>
          <w:tcPr>
            <w:tcW w:w="1417"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3243.04</w:t>
            </w:r>
          </w:p>
        </w:tc>
        <w:tc>
          <w:tcPr>
            <w:tcW w:w="1418"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2022.24</w:t>
            </w:r>
          </w:p>
        </w:tc>
        <w:tc>
          <w:tcPr>
            <w:tcW w:w="1451"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1220.80</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385"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8"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757" w:type="dxa"/>
          <w:trHeight w:val="319" w:hRule="atLeast"/>
          <w:jc w:val="center"/>
        </w:trPr>
        <w:tc>
          <w:tcPr>
            <w:tcW w:w="1156"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20404</w:t>
            </w:r>
          </w:p>
        </w:tc>
        <w:tc>
          <w:tcPr>
            <w:tcW w:w="212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检察</w:t>
            </w:r>
          </w:p>
        </w:tc>
        <w:tc>
          <w:tcPr>
            <w:tcW w:w="1417"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3243.04</w:t>
            </w:r>
          </w:p>
        </w:tc>
        <w:tc>
          <w:tcPr>
            <w:tcW w:w="1418"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2022.24</w:t>
            </w:r>
          </w:p>
        </w:tc>
        <w:tc>
          <w:tcPr>
            <w:tcW w:w="1451"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1220.80</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385"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8"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757" w:type="dxa"/>
          <w:trHeight w:val="319" w:hRule="atLeast"/>
          <w:jc w:val="center"/>
        </w:trPr>
        <w:tc>
          <w:tcPr>
            <w:tcW w:w="1156"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2040401</w:t>
            </w:r>
          </w:p>
        </w:tc>
        <w:tc>
          <w:tcPr>
            <w:tcW w:w="212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行政运行</w:t>
            </w:r>
          </w:p>
        </w:tc>
        <w:tc>
          <w:tcPr>
            <w:tcW w:w="1417"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1757.95</w:t>
            </w:r>
          </w:p>
        </w:tc>
        <w:tc>
          <w:tcPr>
            <w:tcW w:w="1418"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1757.95</w:t>
            </w:r>
          </w:p>
        </w:tc>
        <w:tc>
          <w:tcPr>
            <w:tcW w:w="1451"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385"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8"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757" w:type="dxa"/>
          <w:trHeight w:val="319" w:hRule="atLeast"/>
          <w:jc w:val="center"/>
        </w:trPr>
        <w:tc>
          <w:tcPr>
            <w:tcW w:w="1156"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2040402</w:t>
            </w:r>
          </w:p>
        </w:tc>
        <w:tc>
          <w:tcPr>
            <w:tcW w:w="212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16"/>
                <w:szCs w:val="16"/>
              </w:rPr>
            </w:pPr>
            <w:r>
              <w:rPr>
                <w:rFonts w:hint="eastAsia" w:eastAsia="宋体" w:cs="宋体"/>
                <w:sz w:val="16"/>
                <w:szCs w:val="16"/>
              </w:rPr>
              <w:t>一般行政管理事务</w:t>
            </w:r>
          </w:p>
        </w:tc>
        <w:tc>
          <w:tcPr>
            <w:tcW w:w="1417"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607.04</w:t>
            </w:r>
          </w:p>
        </w:tc>
        <w:tc>
          <w:tcPr>
            <w:tcW w:w="1418"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264.29</w:t>
            </w:r>
          </w:p>
        </w:tc>
        <w:tc>
          <w:tcPr>
            <w:tcW w:w="1451"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342.75</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385"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8"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757" w:type="dxa"/>
          <w:trHeight w:val="319" w:hRule="atLeast"/>
          <w:jc w:val="center"/>
        </w:trPr>
        <w:tc>
          <w:tcPr>
            <w:tcW w:w="1156"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2040404</w:t>
            </w:r>
          </w:p>
        </w:tc>
        <w:tc>
          <w:tcPr>
            <w:tcW w:w="212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16"/>
                <w:szCs w:val="16"/>
              </w:rPr>
            </w:pPr>
            <w:r>
              <w:rPr>
                <w:rFonts w:hint="eastAsia" w:eastAsia="宋体" w:cs="宋体"/>
                <w:sz w:val="16"/>
                <w:szCs w:val="16"/>
              </w:rPr>
              <w:t>查办和预防职务犯罪</w:t>
            </w:r>
          </w:p>
        </w:tc>
        <w:tc>
          <w:tcPr>
            <w:tcW w:w="1417"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398.37</w:t>
            </w:r>
          </w:p>
        </w:tc>
        <w:tc>
          <w:tcPr>
            <w:tcW w:w="1418"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51"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398.37</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385"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8"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757" w:type="dxa"/>
          <w:trHeight w:val="319" w:hRule="atLeast"/>
          <w:jc w:val="center"/>
        </w:trPr>
        <w:tc>
          <w:tcPr>
            <w:tcW w:w="1156"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2040405</w:t>
            </w:r>
          </w:p>
        </w:tc>
        <w:tc>
          <w:tcPr>
            <w:tcW w:w="212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公诉和审判监督</w:t>
            </w:r>
          </w:p>
        </w:tc>
        <w:tc>
          <w:tcPr>
            <w:tcW w:w="1417"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5.30</w:t>
            </w:r>
          </w:p>
        </w:tc>
        <w:tc>
          <w:tcPr>
            <w:tcW w:w="1418"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51"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5.30</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385"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8"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757" w:type="dxa"/>
          <w:trHeight w:val="319" w:hRule="atLeast"/>
          <w:jc w:val="center"/>
        </w:trPr>
        <w:tc>
          <w:tcPr>
            <w:tcW w:w="1156"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2040408</w:t>
            </w:r>
          </w:p>
        </w:tc>
        <w:tc>
          <w:tcPr>
            <w:tcW w:w="212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控告申诉</w:t>
            </w:r>
          </w:p>
        </w:tc>
        <w:tc>
          <w:tcPr>
            <w:tcW w:w="1417"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6.60</w:t>
            </w:r>
          </w:p>
        </w:tc>
        <w:tc>
          <w:tcPr>
            <w:tcW w:w="1418"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51"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6.60</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385"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8"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757" w:type="dxa"/>
          <w:trHeight w:val="319" w:hRule="atLeast"/>
          <w:jc w:val="center"/>
        </w:trPr>
        <w:tc>
          <w:tcPr>
            <w:tcW w:w="1156"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2040409</w:t>
            </w:r>
          </w:p>
        </w:tc>
        <w:tc>
          <w:tcPr>
            <w:tcW w:w="212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两房建设</w:t>
            </w:r>
          </w:p>
        </w:tc>
        <w:tc>
          <w:tcPr>
            <w:tcW w:w="1417"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100.00</w:t>
            </w:r>
          </w:p>
        </w:tc>
        <w:tc>
          <w:tcPr>
            <w:tcW w:w="1418"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51"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100.00</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385"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8"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757" w:type="dxa"/>
          <w:trHeight w:val="319" w:hRule="atLeast"/>
          <w:jc w:val="center"/>
        </w:trPr>
        <w:tc>
          <w:tcPr>
            <w:tcW w:w="1156"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2040499</w:t>
            </w:r>
          </w:p>
        </w:tc>
        <w:tc>
          <w:tcPr>
            <w:tcW w:w="212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 xml:space="preserve"> </w:t>
            </w:r>
            <w:r>
              <w:rPr>
                <w:rFonts w:hint="eastAsia" w:eastAsia="宋体" w:cs="宋体"/>
                <w:sz w:val="20"/>
                <w:szCs w:val="20"/>
              </w:rPr>
              <w:t>其他检察支出</w:t>
            </w:r>
          </w:p>
        </w:tc>
        <w:tc>
          <w:tcPr>
            <w:tcW w:w="1417"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367.78</w:t>
            </w:r>
          </w:p>
        </w:tc>
        <w:tc>
          <w:tcPr>
            <w:tcW w:w="1418"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51"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367.78</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385"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8"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757" w:type="dxa"/>
          <w:trHeight w:val="319" w:hRule="atLeast"/>
          <w:jc w:val="center"/>
        </w:trPr>
        <w:tc>
          <w:tcPr>
            <w:tcW w:w="1156"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208</w:t>
            </w:r>
          </w:p>
        </w:tc>
        <w:tc>
          <w:tcPr>
            <w:tcW w:w="212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16"/>
                <w:szCs w:val="16"/>
              </w:rPr>
            </w:pPr>
            <w:r>
              <w:rPr>
                <w:rFonts w:hint="eastAsia" w:eastAsia="宋体" w:cs="宋体"/>
                <w:sz w:val="16"/>
                <w:szCs w:val="16"/>
              </w:rPr>
              <w:t>社会保障和就业支出</w:t>
            </w:r>
          </w:p>
        </w:tc>
        <w:tc>
          <w:tcPr>
            <w:tcW w:w="1417"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158.74</w:t>
            </w:r>
          </w:p>
        </w:tc>
        <w:tc>
          <w:tcPr>
            <w:tcW w:w="1418"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158.74</w:t>
            </w:r>
          </w:p>
        </w:tc>
        <w:tc>
          <w:tcPr>
            <w:tcW w:w="1451"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385"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8"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757" w:type="dxa"/>
          <w:trHeight w:val="319" w:hRule="atLeast"/>
          <w:jc w:val="center"/>
        </w:trPr>
        <w:tc>
          <w:tcPr>
            <w:tcW w:w="1156"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20805</w:t>
            </w:r>
          </w:p>
        </w:tc>
        <w:tc>
          <w:tcPr>
            <w:tcW w:w="212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15"/>
                <w:szCs w:val="15"/>
              </w:rPr>
            </w:pPr>
            <w:r>
              <w:rPr>
                <w:rFonts w:hint="eastAsia" w:eastAsia="宋体" w:cs="宋体"/>
                <w:sz w:val="15"/>
                <w:szCs w:val="15"/>
              </w:rPr>
              <w:t>行政事业单位离退休</w:t>
            </w:r>
          </w:p>
        </w:tc>
        <w:tc>
          <w:tcPr>
            <w:tcW w:w="1417"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158.74</w:t>
            </w:r>
          </w:p>
        </w:tc>
        <w:tc>
          <w:tcPr>
            <w:tcW w:w="1418"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158.74</w:t>
            </w:r>
          </w:p>
        </w:tc>
        <w:tc>
          <w:tcPr>
            <w:tcW w:w="1451"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385"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8"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757" w:type="dxa"/>
          <w:trHeight w:val="319" w:hRule="atLeast"/>
          <w:jc w:val="center"/>
        </w:trPr>
        <w:tc>
          <w:tcPr>
            <w:tcW w:w="1156"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2080505</w:t>
            </w:r>
          </w:p>
        </w:tc>
        <w:tc>
          <w:tcPr>
            <w:tcW w:w="212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15"/>
                <w:szCs w:val="15"/>
              </w:rPr>
            </w:pPr>
            <w:r>
              <w:rPr>
                <w:rFonts w:eastAsia="宋体"/>
                <w:sz w:val="15"/>
                <w:szCs w:val="15"/>
              </w:rPr>
              <w:t xml:space="preserve"> </w:t>
            </w:r>
            <w:r>
              <w:rPr>
                <w:rFonts w:hint="eastAsia" w:eastAsia="宋体" w:cs="宋体"/>
                <w:sz w:val="15"/>
                <w:szCs w:val="15"/>
              </w:rPr>
              <w:t>机关事业单位基本养老保险缴费支出★</w:t>
            </w:r>
          </w:p>
        </w:tc>
        <w:tc>
          <w:tcPr>
            <w:tcW w:w="1417"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158.74</w:t>
            </w:r>
          </w:p>
        </w:tc>
        <w:tc>
          <w:tcPr>
            <w:tcW w:w="1418"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158.74</w:t>
            </w:r>
          </w:p>
        </w:tc>
        <w:tc>
          <w:tcPr>
            <w:tcW w:w="1451"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385"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8"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757" w:type="dxa"/>
          <w:trHeight w:val="319" w:hRule="atLeast"/>
          <w:jc w:val="center"/>
        </w:trPr>
        <w:tc>
          <w:tcPr>
            <w:tcW w:w="1156"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221</w:t>
            </w:r>
          </w:p>
        </w:tc>
        <w:tc>
          <w:tcPr>
            <w:tcW w:w="212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住房保障支出</w:t>
            </w:r>
          </w:p>
        </w:tc>
        <w:tc>
          <w:tcPr>
            <w:tcW w:w="1417"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195.98</w:t>
            </w:r>
          </w:p>
        </w:tc>
        <w:tc>
          <w:tcPr>
            <w:tcW w:w="1418"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195.98</w:t>
            </w:r>
          </w:p>
        </w:tc>
        <w:tc>
          <w:tcPr>
            <w:tcW w:w="1451"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385"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8"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757" w:type="dxa"/>
          <w:trHeight w:val="319" w:hRule="atLeast"/>
          <w:jc w:val="center"/>
        </w:trPr>
        <w:tc>
          <w:tcPr>
            <w:tcW w:w="1156"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22102</w:t>
            </w:r>
          </w:p>
        </w:tc>
        <w:tc>
          <w:tcPr>
            <w:tcW w:w="212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住房改革支出</w:t>
            </w:r>
          </w:p>
        </w:tc>
        <w:tc>
          <w:tcPr>
            <w:tcW w:w="1417"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195.98</w:t>
            </w:r>
          </w:p>
        </w:tc>
        <w:tc>
          <w:tcPr>
            <w:tcW w:w="1418"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195.98</w:t>
            </w:r>
          </w:p>
        </w:tc>
        <w:tc>
          <w:tcPr>
            <w:tcW w:w="1451"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385"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8"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757" w:type="dxa"/>
          <w:trHeight w:val="319" w:hRule="atLeast"/>
          <w:jc w:val="center"/>
        </w:trPr>
        <w:tc>
          <w:tcPr>
            <w:tcW w:w="1156"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2210201</w:t>
            </w:r>
          </w:p>
        </w:tc>
        <w:tc>
          <w:tcPr>
            <w:tcW w:w="212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住房公积金</w:t>
            </w:r>
          </w:p>
        </w:tc>
        <w:tc>
          <w:tcPr>
            <w:tcW w:w="1417"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166.28</w:t>
            </w:r>
          </w:p>
        </w:tc>
        <w:tc>
          <w:tcPr>
            <w:tcW w:w="1418"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166.28</w:t>
            </w:r>
          </w:p>
        </w:tc>
        <w:tc>
          <w:tcPr>
            <w:tcW w:w="1451"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385"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8"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757" w:type="dxa"/>
          <w:trHeight w:val="374" w:hRule="atLeast"/>
          <w:jc w:val="center"/>
        </w:trPr>
        <w:tc>
          <w:tcPr>
            <w:tcW w:w="1156"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2210202</w:t>
            </w:r>
          </w:p>
        </w:tc>
        <w:tc>
          <w:tcPr>
            <w:tcW w:w="212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400" w:firstLineChars="200"/>
              <w:rPr>
                <w:rFonts w:eastAsia="宋体"/>
                <w:sz w:val="20"/>
                <w:szCs w:val="20"/>
              </w:rPr>
            </w:pPr>
            <w:r>
              <w:rPr>
                <w:rFonts w:hint="eastAsia" w:eastAsia="宋体" w:cs="宋体"/>
                <w:sz w:val="20"/>
                <w:szCs w:val="20"/>
              </w:rPr>
              <w:t>提租补贴</w:t>
            </w:r>
          </w:p>
        </w:tc>
        <w:tc>
          <w:tcPr>
            <w:tcW w:w="1417"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29.70</w:t>
            </w:r>
          </w:p>
        </w:tc>
        <w:tc>
          <w:tcPr>
            <w:tcW w:w="1418" w:type="dxa"/>
            <w:gridSpan w:val="2"/>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29.70</w:t>
            </w:r>
          </w:p>
        </w:tc>
        <w:tc>
          <w:tcPr>
            <w:tcW w:w="1451"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6"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385"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c>
          <w:tcPr>
            <w:tcW w:w="1418" w:type="dxa"/>
            <w:gridSpan w:val="3"/>
            <w:tcBorders>
              <w:top w:val="nil"/>
              <w:left w:val="nil"/>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605" w:hRule="atLeast"/>
          <w:jc w:val="center"/>
        </w:trPr>
        <w:tc>
          <w:tcPr>
            <w:tcW w:w="10813" w:type="dxa"/>
            <w:gridSpan w:val="20"/>
            <w:tcBorders>
              <w:top w:val="nil"/>
              <w:left w:val="nil"/>
              <w:bottom w:val="nil"/>
              <w:right w:val="nil"/>
            </w:tcBorders>
            <w:vAlign w:val="center"/>
          </w:tcPr>
          <w:p>
            <w:pPr>
              <w:widowControl/>
              <w:autoSpaceDE/>
              <w:autoSpaceDN/>
              <w:snapToGrid/>
              <w:spacing w:line="240" w:lineRule="auto"/>
              <w:ind w:firstLine="0"/>
              <w:jc w:val="center"/>
              <w:rPr>
                <w:rFonts w:ascii="宋体" w:hAnsi="宋体" w:eastAsia="宋体"/>
                <w:b/>
                <w:bCs/>
                <w:sz w:val="36"/>
                <w:szCs w:val="36"/>
              </w:rPr>
            </w:pPr>
            <w:bookmarkStart w:id="2" w:name="RANGE_A1_F35"/>
            <w:r>
              <w:rPr>
                <w:rFonts w:hint="eastAsia" w:ascii="宋体" w:hAnsi="宋体" w:eastAsia="宋体" w:cs="宋体"/>
                <w:b/>
                <w:bCs/>
                <w:sz w:val="36"/>
                <w:szCs w:val="36"/>
              </w:rPr>
              <w:t>财政拨款收入支出决算总表</w:t>
            </w:r>
            <w:bookmarkEnd w:id="2"/>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nil"/>
              <w:bottom w:val="nil"/>
              <w:right w:val="nil"/>
            </w:tcBorders>
            <w:vAlign w:val="center"/>
          </w:tcPr>
          <w:p>
            <w:pPr>
              <w:widowControl/>
              <w:autoSpaceDE/>
              <w:autoSpaceDN/>
              <w:snapToGrid/>
              <w:spacing w:line="240" w:lineRule="auto"/>
              <w:ind w:firstLine="0"/>
              <w:jc w:val="center"/>
              <w:rPr>
                <w:rFonts w:eastAsia="方正小标宋_GBK"/>
                <w:sz w:val="36"/>
                <w:szCs w:val="36"/>
              </w:rPr>
            </w:pPr>
          </w:p>
        </w:tc>
        <w:tc>
          <w:tcPr>
            <w:tcW w:w="900" w:type="dxa"/>
            <w:gridSpan w:val="2"/>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2880" w:type="dxa"/>
            <w:gridSpan w:val="5"/>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440" w:type="dxa"/>
            <w:gridSpan w:val="4"/>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440" w:type="dxa"/>
            <w:gridSpan w:val="3"/>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260" w:type="dxa"/>
            <w:gridSpan w:val="2"/>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公开</w:t>
            </w:r>
            <w:r>
              <w:rPr>
                <w:rFonts w:eastAsia="宋体"/>
                <w:sz w:val="20"/>
                <w:szCs w:val="20"/>
              </w:rPr>
              <w:t>04</w:t>
            </w:r>
            <w:r>
              <w:rPr>
                <w:rFonts w:hint="eastAsia" w:eastAsia="宋体" w:cs="宋体"/>
                <w:sz w:val="20"/>
                <w:szCs w:val="20"/>
              </w:rPr>
              <w:t>表</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3793" w:type="dxa"/>
            <w:gridSpan w:val="6"/>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部门名称：海安市人民检察院</w:t>
            </w:r>
          </w:p>
        </w:tc>
        <w:tc>
          <w:tcPr>
            <w:tcW w:w="2880" w:type="dxa"/>
            <w:gridSpan w:val="5"/>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440" w:type="dxa"/>
            <w:gridSpan w:val="4"/>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2700" w:type="dxa"/>
            <w:gridSpan w:val="5"/>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金额单位：万元</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3793" w:type="dxa"/>
            <w:gridSpan w:val="6"/>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收</w:t>
            </w:r>
            <w:r>
              <w:rPr>
                <w:rFonts w:eastAsia="宋体"/>
                <w:sz w:val="20"/>
                <w:szCs w:val="20"/>
              </w:rPr>
              <w:t xml:space="preserve">     </w:t>
            </w:r>
            <w:r>
              <w:rPr>
                <w:rFonts w:hint="eastAsia" w:eastAsia="宋体" w:cs="宋体"/>
                <w:sz w:val="20"/>
                <w:szCs w:val="20"/>
              </w:rPr>
              <w:t>入</w:t>
            </w:r>
          </w:p>
        </w:tc>
        <w:tc>
          <w:tcPr>
            <w:tcW w:w="7020" w:type="dxa"/>
            <w:gridSpan w:val="14"/>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支</w:t>
            </w:r>
            <w:r>
              <w:rPr>
                <w:rFonts w:eastAsia="宋体"/>
                <w:sz w:val="20"/>
                <w:szCs w:val="20"/>
              </w:rPr>
              <w:t xml:space="preserve">     </w:t>
            </w:r>
            <w:r>
              <w:rPr>
                <w:rFonts w:hint="eastAsia" w:eastAsia="宋体" w:cs="宋体"/>
                <w:sz w:val="20"/>
                <w:szCs w:val="20"/>
              </w:rPr>
              <w:t>出</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vMerge w:val="restart"/>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项</w:t>
            </w:r>
            <w:r>
              <w:rPr>
                <w:rFonts w:eastAsia="宋体"/>
                <w:sz w:val="20"/>
                <w:szCs w:val="20"/>
              </w:rPr>
              <w:t xml:space="preserve">    </w:t>
            </w:r>
            <w:r>
              <w:rPr>
                <w:rFonts w:hint="eastAsia" w:eastAsia="宋体" w:cs="宋体"/>
                <w:sz w:val="20"/>
                <w:szCs w:val="20"/>
              </w:rPr>
              <w:t>目</w:t>
            </w:r>
          </w:p>
        </w:tc>
        <w:tc>
          <w:tcPr>
            <w:tcW w:w="900" w:type="dxa"/>
            <w:gridSpan w:val="2"/>
            <w:vMerge w:val="restart"/>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决算数</w:t>
            </w:r>
          </w:p>
        </w:tc>
        <w:tc>
          <w:tcPr>
            <w:tcW w:w="2880" w:type="dxa"/>
            <w:gridSpan w:val="5"/>
            <w:vMerge w:val="restart"/>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按功能分类</w:t>
            </w:r>
          </w:p>
        </w:tc>
        <w:tc>
          <w:tcPr>
            <w:tcW w:w="4140" w:type="dxa"/>
            <w:gridSpan w:val="9"/>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决算数</w:t>
            </w:r>
          </w:p>
        </w:tc>
      </w:tr>
      <w:tr>
        <w:tblPrEx>
          <w:tblLayout w:type="fixed"/>
          <w:tblCellMar>
            <w:top w:w="0" w:type="dxa"/>
            <w:left w:w="108" w:type="dxa"/>
            <w:bottom w:w="0" w:type="dxa"/>
            <w:right w:w="108" w:type="dxa"/>
          </w:tblCellMar>
        </w:tblPrEx>
        <w:trPr>
          <w:gridAfter w:val="3"/>
          <w:wAfter w:w="1731" w:type="dxa"/>
          <w:trHeight w:val="642" w:hRule="atLeast"/>
          <w:jc w:val="center"/>
        </w:trPr>
        <w:tc>
          <w:tcPr>
            <w:tcW w:w="2893" w:type="dxa"/>
            <w:gridSpan w:val="4"/>
            <w:vMerge w:val="continue"/>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900" w:type="dxa"/>
            <w:gridSpan w:val="2"/>
            <w:vMerge w:val="continue"/>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2880" w:type="dxa"/>
            <w:gridSpan w:val="5"/>
            <w:vMerge w:val="continue"/>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小计</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一般公共预算财政拨款</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政府性基金预算财政拨款</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一、一般公共预算财政拨款</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eastAsia="宋体"/>
                <w:sz w:val="20"/>
                <w:szCs w:val="20"/>
              </w:rPr>
              <w:t>3450.00</w:t>
            </w: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一、一般公共服务支出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二、政府性基金预算财政拨款</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二、外交支出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三、国防支出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四、公共安全支出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3128.66</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3128.66</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五、教育支出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六、科学技术支出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七、文化体育与传媒支出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八、社会保障和就业支出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145.41</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145.41</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九、医疗卫生与计划生育支出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十、节能环保支出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十一、城乡社区支出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十二、农林水支出</w:t>
            </w:r>
          </w:p>
        </w:tc>
        <w:tc>
          <w:tcPr>
            <w:tcW w:w="1440" w:type="dxa"/>
            <w:gridSpan w:val="4"/>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十三、交通运输支出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十四、资源勘探信息等支出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十五、商业服务业等支出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十六、金融支出</w:t>
            </w:r>
          </w:p>
        </w:tc>
        <w:tc>
          <w:tcPr>
            <w:tcW w:w="1440" w:type="dxa"/>
            <w:gridSpan w:val="4"/>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十七、援助其他地区支出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十八、国土海洋气象等支出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十九、住房保障支出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175.93</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175.93</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二十、粮油物资储备支出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二十一、其他支出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二十二、债务还本支出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二十三、债务付息支出</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b/>
                <w:bCs/>
                <w:sz w:val="20"/>
                <w:szCs w:val="20"/>
              </w:rPr>
            </w:pPr>
            <w:r>
              <w:rPr>
                <w:rFonts w:hint="eastAsia" w:eastAsia="宋体" w:cs="宋体"/>
                <w:b/>
                <w:bCs/>
                <w:sz w:val="20"/>
                <w:szCs w:val="20"/>
              </w:rPr>
              <w:t>本年收入合计</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eastAsia="宋体"/>
                <w:sz w:val="20"/>
                <w:szCs w:val="20"/>
              </w:rPr>
              <w:t>3450.00</w:t>
            </w: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b/>
                <w:bCs/>
                <w:sz w:val="20"/>
                <w:szCs w:val="20"/>
              </w:rPr>
            </w:pPr>
            <w:r>
              <w:rPr>
                <w:rFonts w:hint="eastAsia" w:eastAsia="宋体" w:cs="宋体"/>
                <w:b/>
                <w:bCs/>
                <w:sz w:val="20"/>
                <w:szCs w:val="20"/>
              </w:rPr>
              <w:t>本年支出合计</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3450.00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3450.00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年初财政拨款结转和结余</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年末财政拨款结转和结余</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一、一般公共预算财政拨款</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二、政府性基金预算财政拨款</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p>
        </w:tc>
      </w:tr>
      <w:tr>
        <w:tblPrEx>
          <w:tblLayout w:type="fixed"/>
          <w:tblCellMar>
            <w:top w:w="0" w:type="dxa"/>
            <w:left w:w="108" w:type="dxa"/>
            <w:bottom w:w="0" w:type="dxa"/>
            <w:right w:w="108" w:type="dxa"/>
          </w:tblCellMar>
        </w:tblPrEx>
        <w:trPr>
          <w:gridAfter w:val="3"/>
          <w:wAfter w:w="1731" w:type="dxa"/>
          <w:trHeight w:val="319" w:hRule="atLeast"/>
          <w:jc w:val="center"/>
        </w:trPr>
        <w:tc>
          <w:tcPr>
            <w:tcW w:w="2893" w:type="dxa"/>
            <w:gridSpan w:val="4"/>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b/>
                <w:bCs/>
                <w:sz w:val="20"/>
                <w:szCs w:val="20"/>
              </w:rPr>
            </w:pPr>
            <w:r>
              <w:rPr>
                <w:rFonts w:hint="eastAsia" w:eastAsia="宋体" w:cs="宋体"/>
                <w:b/>
                <w:bCs/>
                <w:sz w:val="20"/>
                <w:szCs w:val="20"/>
              </w:rPr>
              <w:t>总计</w:t>
            </w:r>
          </w:p>
        </w:tc>
        <w:tc>
          <w:tcPr>
            <w:tcW w:w="90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right"/>
              <w:rPr>
                <w:rFonts w:eastAsia="宋体"/>
                <w:sz w:val="20"/>
                <w:szCs w:val="20"/>
              </w:rPr>
            </w:pPr>
            <w:r>
              <w:rPr>
                <w:rFonts w:eastAsia="宋体"/>
                <w:sz w:val="20"/>
                <w:szCs w:val="20"/>
              </w:rPr>
              <w:t>3450.00</w:t>
            </w:r>
            <w:r>
              <w:rPr>
                <w:rFonts w:hint="eastAsia" w:eastAsia="宋体" w:cs="宋体"/>
                <w:sz w:val="20"/>
                <w:szCs w:val="20"/>
              </w:rPr>
              <w:t>　</w:t>
            </w:r>
          </w:p>
        </w:tc>
        <w:tc>
          <w:tcPr>
            <w:tcW w:w="2880" w:type="dxa"/>
            <w:gridSpan w:val="5"/>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b/>
                <w:bCs/>
                <w:sz w:val="20"/>
                <w:szCs w:val="20"/>
              </w:rPr>
            </w:pPr>
            <w:r>
              <w:rPr>
                <w:rFonts w:hint="eastAsia" w:eastAsia="宋体" w:cs="宋体"/>
                <w:b/>
                <w:bCs/>
                <w:sz w:val="20"/>
                <w:szCs w:val="20"/>
              </w:rPr>
              <w:t>总计</w:t>
            </w:r>
          </w:p>
        </w:tc>
        <w:tc>
          <w:tcPr>
            <w:tcW w:w="1440" w:type="dxa"/>
            <w:gridSpan w:val="4"/>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3450.00</w:t>
            </w:r>
          </w:p>
        </w:tc>
        <w:tc>
          <w:tcPr>
            <w:tcW w:w="144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3450.00</w:t>
            </w:r>
          </w:p>
        </w:tc>
        <w:tc>
          <w:tcPr>
            <w:tcW w:w="126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bl>
    <w:p>
      <w:pPr>
        <w:ind w:firstLine="0"/>
      </w:pPr>
    </w:p>
    <w:p>
      <w:pPr>
        <w:ind w:firstLine="0"/>
      </w:pPr>
    </w:p>
    <w:p>
      <w:pPr>
        <w:ind w:firstLine="0"/>
      </w:pPr>
    </w:p>
    <w:p>
      <w:pPr>
        <w:ind w:firstLine="0"/>
      </w:pPr>
    </w:p>
    <w:p>
      <w:pPr>
        <w:ind w:firstLine="0"/>
      </w:pPr>
    </w:p>
    <w:p>
      <w:pPr>
        <w:ind w:firstLine="0"/>
      </w:pPr>
    </w:p>
    <w:tbl>
      <w:tblPr>
        <w:tblStyle w:val="8"/>
        <w:tblW w:w="13540" w:type="dxa"/>
        <w:jc w:val="center"/>
        <w:tblInd w:w="0" w:type="dxa"/>
        <w:tblLayout w:type="fixed"/>
        <w:tblCellMar>
          <w:top w:w="0" w:type="dxa"/>
          <w:left w:w="108" w:type="dxa"/>
          <w:bottom w:w="0" w:type="dxa"/>
          <w:right w:w="108" w:type="dxa"/>
        </w:tblCellMar>
      </w:tblPr>
      <w:tblGrid>
        <w:gridCol w:w="1340"/>
        <w:gridCol w:w="481"/>
        <w:gridCol w:w="2059"/>
        <w:gridCol w:w="792"/>
        <w:gridCol w:w="2336"/>
        <w:gridCol w:w="92"/>
        <w:gridCol w:w="2060"/>
        <w:gridCol w:w="1160"/>
        <w:gridCol w:w="985"/>
        <w:gridCol w:w="2235"/>
      </w:tblGrid>
      <w:tr>
        <w:tblPrEx>
          <w:tblLayout w:type="fixed"/>
          <w:tblCellMar>
            <w:top w:w="0" w:type="dxa"/>
            <w:left w:w="108" w:type="dxa"/>
            <w:bottom w:w="0" w:type="dxa"/>
            <w:right w:w="108" w:type="dxa"/>
          </w:tblCellMar>
        </w:tblPrEx>
        <w:trPr>
          <w:gridAfter w:val="1"/>
          <w:wAfter w:w="2235" w:type="dxa"/>
          <w:trHeight w:val="581" w:hRule="atLeast"/>
          <w:jc w:val="center"/>
        </w:trPr>
        <w:tc>
          <w:tcPr>
            <w:tcW w:w="11305" w:type="dxa"/>
            <w:gridSpan w:val="9"/>
            <w:tcBorders>
              <w:top w:val="nil"/>
              <w:left w:val="nil"/>
              <w:bottom w:val="nil"/>
              <w:right w:val="nil"/>
            </w:tcBorders>
            <w:vAlign w:val="center"/>
          </w:tcPr>
          <w:p>
            <w:pPr>
              <w:widowControl/>
              <w:autoSpaceDE/>
              <w:autoSpaceDN/>
              <w:snapToGrid/>
              <w:spacing w:line="240" w:lineRule="auto"/>
              <w:ind w:firstLine="0"/>
              <w:jc w:val="center"/>
              <w:rPr>
                <w:rFonts w:ascii="宋体" w:hAnsi="宋体" w:eastAsia="宋体"/>
                <w:b/>
                <w:bCs/>
                <w:sz w:val="36"/>
                <w:szCs w:val="36"/>
              </w:rPr>
            </w:pPr>
            <w:bookmarkStart w:id="3" w:name="RANGE_A1_E14"/>
            <w:r>
              <w:rPr>
                <w:rFonts w:hint="eastAsia" w:ascii="宋体" w:hAnsi="宋体" w:eastAsia="宋体" w:cs="宋体"/>
                <w:b/>
                <w:bCs/>
                <w:sz w:val="36"/>
                <w:szCs w:val="36"/>
              </w:rPr>
              <w:t>财政拨款支出决算表</w:t>
            </w:r>
            <w:bookmarkEnd w:id="3"/>
            <w:r>
              <w:rPr>
                <w:rFonts w:hint="eastAsia" w:ascii="宋体" w:hAnsi="宋体" w:eastAsia="宋体" w:cs="宋体"/>
                <w:b/>
                <w:bCs/>
                <w:sz w:val="36"/>
                <w:szCs w:val="36"/>
              </w:rPr>
              <w:t>（功能科目）</w:t>
            </w:r>
          </w:p>
        </w:tc>
      </w:tr>
      <w:tr>
        <w:tblPrEx>
          <w:tblLayout w:type="fixed"/>
          <w:tblCellMar>
            <w:top w:w="0" w:type="dxa"/>
            <w:left w:w="108" w:type="dxa"/>
            <w:bottom w:w="0" w:type="dxa"/>
            <w:right w:w="108" w:type="dxa"/>
          </w:tblCellMar>
        </w:tblPrEx>
        <w:trPr>
          <w:gridAfter w:val="1"/>
          <w:wAfter w:w="2235" w:type="dxa"/>
          <w:trHeight w:val="457" w:hRule="atLeast"/>
          <w:jc w:val="center"/>
        </w:trPr>
        <w:tc>
          <w:tcPr>
            <w:tcW w:w="1821" w:type="dxa"/>
            <w:gridSpan w:val="2"/>
            <w:tcBorders>
              <w:top w:val="nil"/>
              <w:left w:val="nil"/>
              <w:bottom w:val="nil"/>
              <w:right w:val="nil"/>
            </w:tcBorders>
            <w:vAlign w:val="center"/>
          </w:tcPr>
          <w:p>
            <w:pPr>
              <w:widowControl/>
              <w:autoSpaceDE/>
              <w:autoSpaceDN/>
              <w:snapToGrid/>
              <w:spacing w:line="200" w:lineRule="exact"/>
              <w:ind w:firstLine="0"/>
              <w:jc w:val="center"/>
              <w:rPr>
                <w:rFonts w:eastAsia="方正小标宋_GBK"/>
                <w:sz w:val="36"/>
                <w:szCs w:val="36"/>
              </w:rPr>
            </w:pPr>
          </w:p>
        </w:tc>
        <w:tc>
          <w:tcPr>
            <w:tcW w:w="2851" w:type="dxa"/>
            <w:gridSpan w:val="2"/>
            <w:tcBorders>
              <w:top w:val="nil"/>
              <w:left w:val="nil"/>
              <w:bottom w:val="nil"/>
              <w:right w:val="nil"/>
            </w:tcBorders>
            <w:vAlign w:val="center"/>
          </w:tcPr>
          <w:p>
            <w:pPr>
              <w:widowControl/>
              <w:autoSpaceDE/>
              <w:autoSpaceDN/>
              <w:snapToGrid/>
              <w:spacing w:line="200" w:lineRule="exact"/>
              <w:ind w:firstLine="0"/>
              <w:jc w:val="center"/>
              <w:rPr>
                <w:rFonts w:eastAsia="Times New Roman"/>
                <w:sz w:val="20"/>
                <w:szCs w:val="20"/>
              </w:rPr>
            </w:pPr>
          </w:p>
        </w:tc>
        <w:tc>
          <w:tcPr>
            <w:tcW w:w="2336" w:type="dxa"/>
            <w:tcBorders>
              <w:top w:val="nil"/>
              <w:left w:val="nil"/>
              <w:bottom w:val="nil"/>
              <w:right w:val="nil"/>
            </w:tcBorders>
            <w:vAlign w:val="center"/>
          </w:tcPr>
          <w:p>
            <w:pPr>
              <w:widowControl/>
              <w:autoSpaceDE/>
              <w:autoSpaceDN/>
              <w:snapToGrid/>
              <w:spacing w:line="200" w:lineRule="exact"/>
              <w:ind w:firstLine="0"/>
              <w:jc w:val="center"/>
              <w:rPr>
                <w:rFonts w:eastAsia="Times New Roman"/>
                <w:sz w:val="20"/>
                <w:szCs w:val="20"/>
              </w:rPr>
            </w:pPr>
          </w:p>
        </w:tc>
        <w:tc>
          <w:tcPr>
            <w:tcW w:w="2152" w:type="dxa"/>
            <w:gridSpan w:val="2"/>
            <w:tcBorders>
              <w:top w:val="nil"/>
              <w:left w:val="nil"/>
              <w:bottom w:val="nil"/>
              <w:right w:val="nil"/>
            </w:tcBorders>
            <w:vAlign w:val="center"/>
          </w:tcPr>
          <w:p>
            <w:pPr>
              <w:widowControl/>
              <w:autoSpaceDE/>
              <w:autoSpaceDN/>
              <w:snapToGrid/>
              <w:spacing w:line="200" w:lineRule="exact"/>
              <w:ind w:firstLine="0"/>
              <w:jc w:val="center"/>
              <w:rPr>
                <w:rFonts w:eastAsia="Times New Roman"/>
                <w:sz w:val="20"/>
                <w:szCs w:val="20"/>
              </w:rPr>
            </w:pPr>
          </w:p>
        </w:tc>
        <w:tc>
          <w:tcPr>
            <w:tcW w:w="2145" w:type="dxa"/>
            <w:gridSpan w:val="2"/>
            <w:tcBorders>
              <w:top w:val="nil"/>
              <w:left w:val="nil"/>
              <w:bottom w:val="nil"/>
              <w:right w:val="nil"/>
            </w:tcBorders>
            <w:vAlign w:val="center"/>
          </w:tcPr>
          <w:p>
            <w:pPr>
              <w:widowControl/>
              <w:autoSpaceDE/>
              <w:autoSpaceDN/>
              <w:snapToGrid/>
              <w:spacing w:line="200" w:lineRule="exact"/>
              <w:ind w:firstLine="0"/>
              <w:jc w:val="right"/>
              <w:rPr>
                <w:rFonts w:eastAsia="宋体"/>
                <w:sz w:val="20"/>
                <w:szCs w:val="20"/>
              </w:rPr>
            </w:pPr>
            <w:r>
              <w:rPr>
                <w:rFonts w:hint="eastAsia" w:eastAsia="宋体" w:cs="宋体"/>
                <w:sz w:val="20"/>
                <w:szCs w:val="20"/>
              </w:rPr>
              <w:t>公开</w:t>
            </w:r>
            <w:r>
              <w:rPr>
                <w:rFonts w:eastAsia="宋体"/>
                <w:sz w:val="20"/>
                <w:szCs w:val="20"/>
              </w:rPr>
              <w:t>05</w:t>
            </w:r>
            <w:r>
              <w:rPr>
                <w:rFonts w:hint="eastAsia" w:eastAsia="宋体" w:cs="宋体"/>
                <w:sz w:val="20"/>
                <w:szCs w:val="20"/>
              </w:rPr>
              <w:t>表</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4672" w:type="dxa"/>
            <w:gridSpan w:val="4"/>
            <w:tcBorders>
              <w:top w:val="nil"/>
              <w:left w:val="nil"/>
              <w:bottom w:val="single" w:color="auto" w:sz="4" w:space="0"/>
              <w:right w:val="nil"/>
            </w:tcBorders>
            <w:vAlign w:val="center"/>
          </w:tcPr>
          <w:p>
            <w:pPr>
              <w:widowControl/>
              <w:autoSpaceDE/>
              <w:autoSpaceDN/>
              <w:snapToGrid/>
              <w:spacing w:line="200" w:lineRule="exact"/>
              <w:ind w:firstLine="0"/>
              <w:jc w:val="left"/>
              <w:rPr>
                <w:rFonts w:eastAsia="宋体"/>
                <w:sz w:val="20"/>
                <w:szCs w:val="20"/>
              </w:rPr>
            </w:pPr>
            <w:r>
              <w:rPr>
                <w:rFonts w:hint="eastAsia" w:eastAsia="宋体" w:cs="宋体"/>
                <w:sz w:val="20"/>
                <w:szCs w:val="20"/>
              </w:rPr>
              <w:t>部门名称：海安市人民检察院</w:t>
            </w:r>
          </w:p>
        </w:tc>
        <w:tc>
          <w:tcPr>
            <w:tcW w:w="2336" w:type="dxa"/>
            <w:tcBorders>
              <w:top w:val="nil"/>
              <w:left w:val="nil"/>
              <w:bottom w:val="nil"/>
              <w:right w:val="nil"/>
            </w:tcBorders>
            <w:vAlign w:val="center"/>
          </w:tcPr>
          <w:p>
            <w:pPr>
              <w:widowControl/>
              <w:autoSpaceDE/>
              <w:autoSpaceDN/>
              <w:snapToGrid/>
              <w:spacing w:line="200" w:lineRule="exact"/>
              <w:ind w:firstLine="0"/>
              <w:jc w:val="left"/>
              <w:rPr>
                <w:rFonts w:eastAsia="宋体"/>
                <w:sz w:val="20"/>
                <w:szCs w:val="20"/>
              </w:rPr>
            </w:pPr>
          </w:p>
        </w:tc>
        <w:tc>
          <w:tcPr>
            <w:tcW w:w="2152" w:type="dxa"/>
            <w:gridSpan w:val="2"/>
            <w:tcBorders>
              <w:top w:val="nil"/>
              <w:left w:val="nil"/>
              <w:bottom w:val="nil"/>
              <w:right w:val="nil"/>
            </w:tcBorders>
            <w:vAlign w:val="center"/>
          </w:tcPr>
          <w:p>
            <w:pPr>
              <w:widowControl/>
              <w:autoSpaceDE/>
              <w:autoSpaceDN/>
              <w:snapToGrid/>
              <w:spacing w:line="200" w:lineRule="exact"/>
              <w:ind w:firstLine="0"/>
              <w:jc w:val="left"/>
              <w:rPr>
                <w:rFonts w:eastAsia="Times New Roman"/>
                <w:sz w:val="20"/>
                <w:szCs w:val="20"/>
              </w:rPr>
            </w:pPr>
          </w:p>
        </w:tc>
        <w:tc>
          <w:tcPr>
            <w:tcW w:w="2145" w:type="dxa"/>
            <w:gridSpan w:val="2"/>
            <w:tcBorders>
              <w:top w:val="nil"/>
              <w:left w:val="nil"/>
              <w:bottom w:val="nil"/>
              <w:right w:val="nil"/>
            </w:tcBorders>
            <w:vAlign w:val="center"/>
          </w:tcPr>
          <w:p>
            <w:pPr>
              <w:widowControl/>
              <w:autoSpaceDE/>
              <w:autoSpaceDN/>
              <w:snapToGrid/>
              <w:spacing w:line="200" w:lineRule="exact"/>
              <w:ind w:firstLine="0"/>
              <w:jc w:val="right"/>
              <w:rPr>
                <w:rFonts w:eastAsia="宋体"/>
                <w:sz w:val="20"/>
                <w:szCs w:val="20"/>
              </w:rPr>
            </w:pPr>
            <w:r>
              <w:rPr>
                <w:rFonts w:hint="eastAsia" w:eastAsia="宋体" w:cs="宋体"/>
                <w:sz w:val="20"/>
                <w:szCs w:val="20"/>
              </w:rPr>
              <w:t>金额单位：万元</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4672" w:type="dxa"/>
            <w:gridSpan w:val="4"/>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项</w:t>
            </w:r>
            <w:r>
              <w:rPr>
                <w:rFonts w:eastAsia="宋体"/>
                <w:sz w:val="20"/>
                <w:szCs w:val="20"/>
              </w:rPr>
              <w:t xml:space="preserve">    </w:t>
            </w:r>
            <w:r>
              <w:rPr>
                <w:rFonts w:hint="eastAsia" w:eastAsia="宋体" w:cs="宋体"/>
                <w:sz w:val="20"/>
                <w:szCs w:val="20"/>
              </w:rPr>
              <w:t>目</w:t>
            </w:r>
          </w:p>
        </w:tc>
        <w:tc>
          <w:tcPr>
            <w:tcW w:w="2336" w:type="dxa"/>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本年支出合计</w:t>
            </w:r>
          </w:p>
        </w:tc>
        <w:tc>
          <w:tcPr>
            <w:tcW w:w="215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基本支出</w:t>
            </w:r>
            <w:r>
              <w:rPr>
                <w:rFonts w:eastAsia="宋体"/>
                <w:sz w:val="20"/>
                <w:szCs w:val="20"/>
              </w:rPr>
              <w:t xml:space="preserve">  </w:t>
            </w:r>
          </w:p>
        </w:tc>
        <w:tc>
          <w:tcPr>
            <w:tcW w:w="214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00" w:lineRule="exact"/>
              <w:ind w:firstLine="0"/>
              <w:jc w:val="center"/>
              <w:rPr>
                <w:rFonts w:eastAsia="宋体"/>
                <w:sz w:val="20"/>
                <w:szCs w:val="20"/>
              </w:rPr>
            </w:pPr>
            <w:r>
              <w:rPr>
                <w:rFonts w:hint="eastAsia" w:eastAsia="宋体" w:cs="宋体"/>
                <w:sz w:val="20"/>
                <w:szCs w:val="20"/>
              </w:rPr>
              <w:t>项目支出</w:t>
            </w:r>
          </w:p>
        </w:tc>
      </w:tr>
      <w:tr>
        <w:tblPrEx>
          <w:tblLayout w:type="fixed"/>
          <w:tblCellMar>
            <w:top w:w="0" w:type="dxa"/>
            <w:left w:w="108" w:type="dxa"/>
            <w:bottom w:w="0" w:type="dxa"/>
            <w:right w:w="108" w:type="dxa"/>
          </w:tblCellMar>
        </w:tblPrEx>
        <w:trPr>
          <w:gridAfter w:val="1"/>
          <w:wAfter w:w="2235" w:type="dxa"/>
          <w:trHeight w:val="415" w:hRule="atLeast"/>
          <w:jc w:val="center"/>
        </w:trPr>
        <w:tc>
          <w:tcPr>
            <w:tcW w:w="182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功能分类科目编码</w:t>
            </w:r>
          </w:p>
        </w:tc>
        <w:tc>
          <w:tcPr>
            <w:tcW w:w="2851"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科目名称</w:t>
            </w:r>
          </w:p>
        </w:tc>
        <w:tc>
          <w:tcPr>
            <w:tcW w:w="2336"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left"/>
              <w:rPr>
                <w:rFonts w:eastAsia="宋体"/>
                <w:sz w:val="20"/>
                <w:szCs w:val="20"/>
              </w:rPr>
            </w:pPr>
          </w:p>
        </w:tc>
        <w:tc>
          <w:tcPr>
            <w:tcW w:w="21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left"/>
              <w:rPr>
                <w:rFonts w:eastAsia="宋体"/>
                <w:sz w:val="20"/>
                <w:szCs w:val="20"/>
              </w:rPr>
            </w:pPr>
          </w:p>
        </w:tc>
        <w:tc>
          <w:tcPr>
            <w:tcW w:w="21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left"/>
              <w:rPr>
                <w:rFonts w:eastAsia="宋体"/>
                <w:sz w:val="20"/>
                <w:szCs w:val="20"/>
              </w:rPr>
            </w:pP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4672" w:type="dxa"/>
            <w:gridSpan w:val="4"/>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栏次</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3</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4672" w:type="dxa"/>
            <w:gridSpan w:val="4"/>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合计</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3450.00</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2260.49</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1189.51</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182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w:t>
            </w:r>
          </w:p>
        </w:tc>
        <w:tc>
          <w:tcPr>
            <w:tcW w:w="2851"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公共安全支出</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3128.66</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1939.15</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1189.51</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182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20404</w:t>
            </w:r>
          </w:p>
        </w:tc>
        <w:tc>
          <w:tcPr>
            <w:tcW w:w="2851"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检察</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3128.66</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1939.15</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1189.51</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182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2040401</w:t>
            </w:r>
          </w:p>
        </w:tc>
        <w:tc>
          <w:tcPr>
            <w:tcW w:w="2851"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行政运行</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1757.95</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1757.95</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182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2040402</w:t>
            </w:r>
          </w:p>
        </w:tc>
        <w:tc>
          <w:tcPr>
            <w:tcW w:w="2851"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16"/>
                <w:szCs w:val="16"/>
              </w:rPr>
            </w:pPr>
            <w:r>
              <w:rPr>
                <w:rFonts w:hint="eastAsia" w:eastAsia="宋体" w:cs="宋体"/>
                <w:sz w:val="16"/>
                <w:szCs w:val="16"/>
              </w:rPr>
              <w:t>一般行政管理事务</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502.95</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181.20</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321.75</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182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2040404</w:t>
            </w:r>
          </w:p>
        </w:tc>
        <w:tc>
          <w:tcPr>
            <w:tcW w:w="2851"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16"/>
                <w:szCs w:val="16"/>
              </w:rPr>
            </w:pPr>
            <w:r>
              <w:rPr>
                <w:rFonts w:hint="eastAsia" w:eastAsia="宋体" w:cs="宋体"/>
                <w:sz w:val="16"/>
                <w:szCs w:val="16"/>
              </w:rPr>
              <w:t>查办和预防职务犯罪</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388.08</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388.08</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182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2040405</w:t>
            </w:r>
          </w:p>
        </w:tc>
        <w:tc>
          <w:tcPr>
            <w:tcW w:w="2851"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公诉和审判监督</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5.30</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5.30</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182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2040408</w:t>
            </w:r>
          </w:p>
        </w:tc>
        <w:tc>
          <w:tcPr>
            <w:tcW w:w="2851"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控告申诉</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6.60</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6.60</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182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2040409</w:t>
            </w:r>
          </w:p>
        </w:tc>
        <w:tc>
          <w:tcPr>
            <w:tcW w:w="2851"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两房建设</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100.00</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100.00</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182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2040499</w:t>
            </w:r>
          </w:p>
        </w:tc>
        <w:tc>
          <w:tcPr>
            <w:tcW w:w="2851"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 xml:space="preserve"> </w:t>
            </w:r>
            <w:r>
              <w:rPr>
                <w:rFonts w:hint="eastAsia" w:eastAsia="宋体" w:cs="宋体"/>
                <w:sz w:val="20"/>
                <w:szCs w:val="20"/>
              </w:rPr>
              <w:t>其他检察支出</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367.78</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367.78</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182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208</w:t>
            </w:r>
          </w:p>
        </w:tc>
        <w:tc>
          <w:tcPr>
            <w:tcW w:w="2851"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16"/>
                <w:szCs w:val="16"/>
              </w:rPr>
            </w:pPr>
            <w:r>
              <w:rPr>
                <w:rFonts w:hint="eastAsia" w:eastAsia="宋体" w:cs="宋体"/>
                <w:sz w:val="16"/>
                <w:szCs w:val="16"/>
              </w:rPr>
              <w:t>社会保障和就业支出</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145.41</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145.41</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182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20805</w:t>
            </w:r>
          </w:p>
        </w:tc>
        <w:tc>
          <w:tcPr>
            <w:tcW w:w="2851"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15"/>
                <w:szCs w:val="15"/>
              </w:rPr>
            </w:pPr>
            <w:r>
              <w:rPr>
                <w:rFonts w:hint="eastAsia" w:eastAsia="宋体" w:cs="宋体"/>
                <w:sz w:val="15"/>
                <w:szCs w:val="15"/>
              </w:rPr>
              <w:t>行政事业单位离退休</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145.41</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145.41</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182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2080505</w:t>
            </w:r>
          </w:p>
        </w:tc>
        <w:tc>
          <w:tcPr>
            <w:tcW w:w="2851"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15"/>
                <w:szCs w:val="15"/>
              </w:rPr>
            </w:pPr>
            <w:r>
              <w:rPr>
                <w:rFonts w:eastAsia="宋体"/>
                <w:sz w:val="15"/>
                <w:szCs w:val="15"/>
              </w:rPr>
              <w:t xml:space="preserve"> </w:t>
            </w:r>
            <w:r>
              <w:rPr>
                <w:rFonts w:hint="eastAsia" w:eastAsia="宋体" w:cs="宋体"/>
                <w:sz w:val="15"/>
                <w:szCs w:val="15"/>
              </w:rPr>
              <w:t>机关事业单位基本养老保险缴费支出★</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145.41</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145.41</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182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221</w:t>
            </w:r>
          </w:p>
        </w:tc>
        <w:tc>
          <w:tcPr>
            <w:tcW w:w="2851"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住房保障支出</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175.93</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175.93</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182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22102</w:t>
            </w:r>
          </w:p>
        </w:tc>
        <w:tc>
          <w:tcPr>
            <w:tcW w:w="2851"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住房改革支出</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175.93</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175.93</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182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2210201</w:t>
            </w:r>
          </w:p>
        </w:tc>
        <w:tc>
          <w:tcPr>
            <w:tcW w:w="2851"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住房公积金</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148.55</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148.55</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2235" w:type="dxa"/>
          <w:trHeight w:val="301" w:hRule="atLeast"/>
          <w:jc w:val="center"/>
        </w:trPr>
        <w:tc>
          <w:tcPr>
            <w:tcW w:w="182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2210202</w:t>
            </w:r>
          </w:p>
        </w:tc>
        <w:tc>
          <w:tcPr>
            <w:tcW w:w="2851"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400" w:firstLineChars="200"/>
              <w:rPr>
                <w:rFonts w:eastAsia="宋体"/>
                <w:sz w:val="20"/>
                <w:szCs w:val="20"/>
              </w:rPr>
            </w:pPr>
            <w:r>
              <w:rPr>
                <w:rFonts w:hint="eastAsia" w:eastAsia="宋体" w:cs="宋体"/>
                <w:sz w:val="20"/>
                <w:szCs w:val="20"/>
              </w:rPr>
              <w:t>提租补贴</w:t>
            </w:r>
          </w:p>
        </w:tc>
        <w:tc>
          <w:tcPr>
            <w:tcW w:w="233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27.38</w:t>
            </w:r>
          </w:p>
        </w:tc>
        <w:tc>
          <w:tcPr>
            <w:tcW w:w="2152"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27.38</w:t>
            </w:r>
          </w:p>
        </w:tc>
        <w:tc>
          <w:tcPr>
            <w:tcW w:w="2145" w:type="dxa"/>
            <w:gridSpan w:val="2"/>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gridAfter w:val="1"/>
          <w:wAfter w:w="2235" w:type="dxa"/>
          <w:trHeight w:val="425" w:hRule="atLeast"/>
          <w:jc w:val="center"/>
        </w:trPr>
        <w:tc>
          <w:tcPr>
            <w:tcW w:w="11305" w:type="dxa"/>
            <w:gridSpan w:val="9"/>
            <w:tcBorders>
              <w:top w:val="nil"/>
              <w:left w:val="nil"/>
              <w:bottom w:val="nil"/>
              <w:right w:val="nil"/>
            </w:tcBorders>
            <w:vAlign w:val="center"/>
          </w:tcPr>
          <w:p>
            <w:pPr>
              <w:widowControl/>
              <w:autoSpaceDE/>
              <w:autoSpaceDN/>
              <w:snapToGrid/>
              <w:spacing w:line="300" w:lineRule="exact"/>
              <w:ind w:firstLine="0"/>
              <w:jc w:val="left"/>
              <w:rPr>
                <w:rFonts w:eastAsia="宋体"/>
                <w:sz w:val="20"/>
                <w:szCs w:val="20"/>
              </w:rPr>
            </w:pPr>
            <w:r>
              <w:rPr>
                <w:rFonts w:hint="eastAsia" w:eastAsia="宋体" w:cs="宋体"/>
                <w:sz w:val="20"/>
                <w:szCs w:val="20"/>
              </w:rPr>
              <w:t>注：</w:t>
            </w:r>
            <w:r>
              <w:rPr>
                <w:rFonts w:eastAsia="宋体"/>
                <w:sz w:val="20"/>
                <w:szCs w:val="20"/>
              </w:rPr>
              <w:t>1.</w:t>
            </w:r>
            <w:r>
              <w:rPr>
                <w:rFonts w:hint="eastAsia" w:eastAsia="宋体" w:cs="宋体"/>
                <w:sz w:val="20"/>
                <w:szCs w:val="20"/>
              </w:rPr>
              <w:t>本表反映部门本年度按功能分类财政拨款实际支出情况。财政拨款指一般公共预算财政拨款和政府性基金预算财政拨款。</w:t>
            </w:r>
            <w:r>
              <w:rPr>
                <w:rFonts w:eastAsia="宋体"/>
                <w:sz w:val="20"/>
                <w:szCs w:val="20"/>
              </w:rPr>
              <w:t xml:space="preserve">   </w:t>
            </w:r>
          </w:p>
        </w:tc>
      </w:tr>
      <w:tr>
        <w:tblPrEx>
          <w:tblLayout w:type="fixed"/>
          <w:tblCellMar>
            <w:top w:w="0" w:type="dxa"/>
            <w:left w:w="108" w:type="dxa"/>
            <w:bottom w:w="0" w:type="dxa"/>
            <w:right w:w="108" w:type="dxa"/>
          </w:tblCellMar>
        </w:tblPrEx>
        <w:trPr>
          <w:trHeight w:val="960" w:hRule="atLeast"/>
          <w:jc w:val="center"/>
        </w:trPr>
        <w:tc>
          <w:tcPr>
            <w:tcW w:w="13540" w:type="dxa"/>
            <w:gridSpan w:val="10"/>
            <w:tcBorders>
              <w:top w:val="nil"/>
              <w:left w:val="nil"/>
              <w:bottom w:val="nil"/>
              <w:right w:val="nil"/>
            </w:tcBorders>
            <w:vAlign w:val="center"/>
          </w:tcPr>
          <w:p>
            <w:pPr>
              <w:widowControl/>
              <w:autoSpaceDE/>
              <w:autoSpaceDN/>
              <w:snapToGrid/>
              <w:spacing w:line="240" w:lineRule="auto"/>
              <w:ind w:firstLine="0"/>
              <w:jc w:val="center"/>
              <w:rPr>
                <w:rFonts w:ascii="宋体" w:hAnsi="宋体" w:eastAsia="宋体"/>
                <w:b/>
                <w:bCs/>
                <w:sz w:val="36"/>
                <w:szCs w:val="36"/>
              </w:rPr>
            </w:pPr>
            <w:bookmarkStart w:id="4" w:name="RANGE_A1_E22"/>
            <w:r>
              <w:rPr>
                <w:rFonts w:hint="eastAsia" w:ascii="宋体" w:hAnsi="宋体" w:eastAsia="宋体" w:cs="宋体"/>
                <w:b/>
                <w:bCs/>
                <w:sz w:val="36"/>
                <w:szCs w:val="36"/>
              </w:rPr>
              <w:t>财政拨款基本支出决算表</w:t>
            </w:r>
            <w:bookmarkEnd w:id="4"/>
            <w:r>
              <w:rPr>
                <w:rFonts w:hint="eastAsia" w:ascii="宋体" w:hAnsi="宋体" w:eastAsia="宋体" w:cs="宋体"/>
                <w:b/>
                <w:bCs/>
                <w:sz w:val="36"/>
                <w:szCs w:val="36"/>
              </w:rPr>
              <w:t>（经济科目）</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nil"/>
              <w:bottom w:val="nil"/>
              <w:right w:val="nil"/>
            </w:tcBorders>
            <w:vAlign w:val="center"/>
          </w:tcPr>
          <w:p>
            <w:pPr>
              <w:widowControl/>
              <w:autoSpaceDE/>
              <w:autoSpaceDN/>
              <w:snapToGrid/>
              <w:spacing w:line="240" w:lineRule="auto"/>
              <w:ind w:firstLine="0"/>
              <w:jc w:val="center"/>
              <w:rPr>
                <w:rFonts w:eastAsia="方正小标宋_GBK"/>
                <w:sz w:val="36"/>
                <w:szCs w:val="36"/>
              </w:rPr>
            </w:pPr>
          </w:p>
        </w:tc>
        <w:tc>
          <w:tcPr>
            <w:tcW w:w="2540" w:type="dxa"/>
            <w:gridSpan w:val="2"/>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3220" w:type="dxa"/>
            <w:gridSpan w:val="3"/>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3220" w:type="dxa"/>
            <w:gridSpan w:val="2"/>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3220" w:type="dxa"/>
            <w:gridSpan w:val="2"/>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公开</w:t>
            </w:r>
            <w:r>
              <w:rPr>
                <w:rFonts w:eastAsia="宋体"/>
                <w:sz w:val="20"/>
                <w:szCs w:val="20"/>
              </w:rPr>
              <w:t>06</w:t>
            </w:r>
            <w:r>
              <w:rPr>
                <w:rFonts w:hint="eastAsia" w:eastAsia="宋体" w:cs="宋体"/>
                <w:sz w:val="20"/>
                <w:szCs w:val="20"/>
              </w:rPr>
              <w:t>表</w:t>
            </w:r>
          </w:p>
        </w:tc>
      </w:tr>
      <w:tr>
        <w:tblPrEx>
          <w:tblLayout w:type="fixed"/>
          <w:tblCellMar>
            <w:top w:w="0" w:type="dxa"/>
            <w:left w:w="108" w:type="dxa"/>
            <w:bottom w:w="0" w:type="dxa"/>
            <w:right w:w="108" w:type="dxa"/>
          </w:tblCellMar>
        </w:tblPrEx>
        <w:trPr>
          <w:trHeight w:val="319" w:hRule="atLeast"/>
          <w:jc w:val="center"/>
        </w:trPr>
        <w:tc>
          <w:tcPr>
            <w:tcW w:w="3880" w:type="dxa"/>
            <w:gridSpan w:val="3"/>
            <w:tcBorders>
              <w:top w:val="nil"/>
              <w:left w:val="nil"/>
              <w:bottom w:val="single" w:color="auto" w:sz="4" w:space="0"/>
              <w:right w:val="nil"/>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部门名称：海安市人民检察院</w:t>
            </w:r>
          </w:p>
        </w:tc>
        <w:tc>
          <w:tcPr>
            <w:tcW w:w="3220" w:type="dxa"/>
            <w:gridSpan w:val="3"/>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p>
        </w:tc>
        <w:tc>
          <w:tcPr>
            <w:tcW w:w="3220" w:type="dxa"/>
            <w:gridSpan w:val="2"/>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3220" w:type="dxa"/>
            <w:gridSpan w:val="2"/>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金额单位：万元</w:t>
            </w:r>
          </w:p>
        </w:tc>
      </w:tr>
      <w:tr>
        <w:tblPrEx>
          <w:tblLayout w:type="fixed"/>
          <w:tblCellMar>
            <w:top w:w="0" w:type="dxa"/>
            <w:left w:w="108" w:type="dxa"/>
            <w:bottom w:w="0" w:type="dxa"/>
            <w:right w:w="108" w:type="dxa"/>
          </w:tblCellMar>
        </w:tblPrEx>
        <w:trPr>
          <w:trHeight w:val="319" w:hRule="atLeast"/>
          <w:jc w:val="center"/>
        </w:trPr>
        <w:tc>
          <w:tcPr>
            <w:tcW w:w="3880" w:type="dxa"/>
            <w:gridSpan w:val="3"/>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项</w:t>
            </w:r>
            <w:r>
              <w:rPr>
                <w:rFonts w:eastAsia="宋体"/>
                <w:sz w:val="20"/>
                <w:szCs w:val="20"/>
              </w:rPr>
              <w:t xml:space="preserve">    </w:t>
            </w:r>
            <w:r>
              <w:rPr>
                <w:rFonts w:hint="eastAsia" w:eastAsia="宋体" w:cs="宋体"/>
                <w:sz w:val="20"/>
                <w:szCs w:val="20"/>
              </w:rPr>
              <w:t>目</w:t>
            </w:r>
          </w:p>
        </w:tc>
        <w:tc>
          <w:tcPr>
            <w:tcW w:w="322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本年支出合计</w:t>
            </w:r>
          </w:p>
        </w:tc>
        <w:tc>
          <w:tcPr>
            <w:tcW w:w="322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人员经费</w:t>
            </w:r>
          </w:p>
        </w:tc>
        <w:tc>
          <w:tcPr>
            <w:tcW w:w="322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日常公用经费</w:t>
            </w:r>
          </w:p>
        </w:tc>
      </w:tr>
      <w:tr>
        <w:tblPrEx>
          <w:tblLayout w:type="fixed"/>
          <w:tblCellMar>
            <w:top w:w="0" w:type="dxa"/>
            <w:left w:w="108" w:type="dxa"/>
            <w:bottom w:w="0" w:type="dxa"/>
            <w:right w:w="108" w:type="dxa"/>
          </w:tblCellMar>
        </w:tblPrEx>
        <w:trPr>
          <w:trHeight w:val="319" w:hRule="atLeast"/>
          <w:jc w:val="center"/>
        </w:trPr>
        <w:tc>
          <w:tcPr>
            <w:tcW w:w="1340" w:type="dxa"/>
            <w:vMerge w:val="restart"/>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经济分类科目编码</w:t>
            </w:r>
          </w:p>
        </w:tc>
        <w:tc>
          <w:tcPr>
            <w:tcW w:w="2540" w:type="dxa"/>
            <w:gridSpan w:val="2"/>
            <w:vMerge w:val="restart"/>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科目名称</w:t>
            </w:r>
          </w:p>
        </w:tc>
        <w:tc>
          <w:tcPr>
            <w:tcW w:w="32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r>
      <w:tr>
        <w:tblPrEx>
          <w:tblLayout w:type="fixed"/>
          <w:tblCellMar>
            <w:top w:w="0" w:type="dxa"/>
            <w:left w:w="108" w:type="dxa"/>
            <w:bottom w:w="0" w:type="dxa"/>
            <w:right w:w="108" w:type="dxa"/>
          </w:tblCellMar>
        </w:tblPrEx>
        <w:trPr>
          <w:trHeight w:val="319" w:hRule="atLeast"/>
          <w:jc w:val="center"/>
        </w:trPr>
        <w:tc>
          <w:tcPr>
            <w:tcW w:w="1340" w:type="dxa"/>
            <w:vMerge w:val="continue"/>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2540" w:type="dxa"/>
            <w:gridSpan w:val="2"/>
            <w:vMerge w:val="continue"/>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r>
      <w:tr>
        <w:tblPrEx>
          <w:tblLayout w:type="fixed"/>
          <w:tblCellMar>
            <w:top w:w="0" w:type="dxa"/>
            <w:left w:w="108" w:type="dxa"/>
            <w:bottom w:w="0" w:type="dxa"/>
            <w:right w:w="108" w:type="dxa"/>
          </w:tblCellMar>
        </w:tblPrEx>
        <w:trPr>
          <w:trHeight w:val="312" w:hRule="atLeast"/>
          <w:jc w:val="center"/>
        </w:trPr>
        <w:tc>
          <w:tcPr>
            <w:tcW w:w="1340" w:type="dxa"/>
            <w:vMerge w:val="continue"/>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2540" w:type="dxa"/>
            <w:gridSpan w:val="2"/>
            <w:vMerge w:val="continue"/>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r>
      <w:tr>
        <w:tblPrEx>
          <w:tblLayout w:type="fixed"/>
          <w:tblCellMar>
            <w:top w:w="0" w:type="dxa"/>
            <w:left w:w="108" w:type="dxa"/>
            <w:bottom w:w="0" w:type="dxa"/>
            <w:right w:w="108" w:type="dxa"/>
          </w:tblCellMar>
        </w:tblPrEx>
        <w:trPr>
          <w:trHeight w:val="319" w:hRule="atLeast"/>
          <w:jc w:val="center"/>
        </w:trPr>
        <w:tc>
          <w:tcPr>
            <w:tcW w:w="3880" w:type="dxa"/>
            <w:gridSpan w:val="3"/>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合计</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2260.49</w:t>
            </w:r>
            <w:r>
              <w:rPr>
                <w:rFonts w:hint="eastAsia" w:eastAsia="宋体" w:cs="宋体"/>
                <w:sz w:val="20"/>
                <w:szCs w:val="20"/>
              </w:rPr>
              <w:t>　</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2040.15</w:t>
            </w:r>
            <w:r>
              <w:rPr>
                <w:rFonts w:hint="eastAsia" w:eastAsia="宋体" w:cs="宋体"/>
                <w:sz w:val="20"/>
                <w:szCs w:val="20"/>
              </w:rPr>
              <w:t>　</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220.34</w:t>
            </w: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b/>
                <w:bCs/>
                <w:sz w:val="20"/>
                <w:szCs w:val="20"/>
              </w:rPr>
            </w:pPr>
            <w:r>
              <w:rPr>
                <w:rFonts w:eastAsia="宋体"/>
                <w:b/>
                <w:bCs/>
                <w:sz w:val="20"/>
                <w:szCs w:val="20"/>
              </w:rPr>
              <w:t>301</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b/>
                <w:bCs/>
                <w:sz w:val="20"/>
                <w:szCs w:val="20"/>
              </w:rPr>
            </w:pPr>
            <w:r>
              <w:rPr>
                <w:rFonts w:hint="eastAsia" w:eastAsia="宋体" w:cs="宋体"/>
                <w:b/>
                <w:bCs/>
                <w:sz w:val="20"/>
                <w:szCs w:val="20"/>
              </w:rPr>
              <w:t>工资福利支出</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1795.97</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1795.97</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30101</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基本工资</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327.45</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327.45</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30102</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津贴补贴</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473.21</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473.21</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30103</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200" w:firstLineChars="100"/>
              <w:jc w:val="left"/>
              <w:rPr>
                <w:rFonts w:eastAsia="宋体"/>
                <w:sz w:val="20"/>
                <w:szCs w:val="20"/>
              </w:rPr>
            </w:pPr>
            <w:r>
              <w:rPr>
                <w:rFonts w:hint="eastAsia" w:eastAsia="宋体" w:cs="宋体"/>
                <w:sz w:val="20"/>
                <w:szCs w:val="20"/>
              </w:rPr>
              <w:t>奖金</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1200" w:firstLineChars="600"/>
              <w:rPr>
                <w:rFonts w:eastAsia="宋体"/>
                <w:sz w:val="20"/>
                <w:szCs w:val="20"/>
              </w:rPr>
            </w:pPr>
            <w:r>
              <w:rPr>
                <w:rFonts w:eastAsia="宋体"/>
                <w:sz w:val="20"/>
                <w:szCs w:val="20"/>
              </w:rPr>
              <w:t>705.30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1200" w:firstLineChars="600"/>
              <w:rPr>
                <w:rFonts w:eastAsia="宋体"/>
                <w:sz w:val="20"/>
                <w:szCs w:val="20"/>
              </w:rPr>
            </w:pPr>
            <w:r>
              <w:rPr>
                <w:rFonts w:eastAsia="宋体"/>
                <w:sz w:val="20"/>
                <w:szCs w:val="20"/>
              </w:rPr>
              <w:t>705.30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30104</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其他社会保障缴费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122.10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122.10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30106</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伙食补助费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30107</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绩效工资</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30108</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机关事业单位基本养老保险缴费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145.41</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145.41</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30109</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职业年金缴费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30199</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其他工资福利支出</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22.50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22.50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b/>
                <w:bCs/>
                <w:sz w:val="20"/>
                <w:szCs w:val="20"/>
              </w:rPr>
            </w:pPr>
            <w:r>
              <w:rPr>
                <w:rFonts w:eastAsia="宋体"/>
                <w:b/>
                <w:bCs/>
                <w:sz w:val="20"/>
                <w:szCs w:val="20"/>
              </w:rPr>
              <w:t>302</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b/>
                <w:bCs/>
                <w:sz w:val="20"/>
                <w:szCs w:val="20"/>
              </w:rPr>
            </w:pPr>
            <w:r>
              <w:rPr>
                <w:rFonts w:hint="eastAsia" w:eastAsia="宋体" w:cs="宋体"/>
                <w:b/>
                <w:bCs/>
                <w:sz w:val="20"/>
                <w:szCs w:val="20"/>
              </w:rPr>
              <w:t>商品和服务支出</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220.34</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220.34</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30201</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办公费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9.78</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9.78</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30202</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印刷费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0.02</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0.02</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30203</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咨询费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30204</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手续费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30205</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水费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1.55</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1.55</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30206</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电费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49.38</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49.38</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30207</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邮电费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10.73</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10.73</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30208</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取暖费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30209</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物业管理费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1.47</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1.47</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30211</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差旅费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0.13</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0.13</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30212</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因公出国（境）费用</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30213</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维修（护）费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5.58</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5.58</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30214</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租赁费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0.72</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0.72</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30215</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会议费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0.85</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0.85</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30216</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培训费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0.04</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0.04</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30217</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公务接待费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1.72</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1.72</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30218</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专用材料费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30224</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被装购置费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30225</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专用燃料费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1.43</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1.43</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30226</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劳务费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0.93</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0.93</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30227</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委托业务费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0.29</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0.29</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30228</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工会经费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15.53</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15.53</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30229</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福利费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3.67</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3.67</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30231</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公务用车运行维护费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44.80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44.80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30239</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其他交通费用</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71.68</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71.68</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30240</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税金及附加费用</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30299</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其他商品和服务支出</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0.04</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0.04</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b/>
                <w:bCs/>
                <w:sz w:val="20"/>
                <w:szCs w:val="20"/>
              </w:rPr>
            </w:pPr>
            <w:r>
              <w:rPr>
                <w:rFonts w:eastAsia="宋体"/>
                <w:b/>
                <w:bCs/>
                <w:sz w:val="20"/>
                <w:szCs w:val="20"/>
              </w:rPr>
              <w:t>303</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b/>
                <w:bCs/>
                <w:sz w:val="20"/>
                <w:szCs w:val="20"/>
              </w:rPr>
            </w:pPr>
            <w:r>
              <w:rPr>
                <w:rFonts w:hint="eastAsia" w:eastAsia="宋体" w:cs="宋体"/>
                <w:b/>
                <w:bCs/>
                <w:sz w:val="20"/>
                <w:szCs w:val="20"/>
              </w:rPr>
              <w:t>对个人和家庭的补助</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244.18</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244.18</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30301</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离休费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32.90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32.90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30302</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退休费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15.33</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15.33</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30303</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退职（役）费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30304</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抚恤金</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30305</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生活补助</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3.83</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3.83</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30306</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救济费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30307</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医疗费</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30308</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助学金</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30309</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奖励金</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30310</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生产补贴</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30311</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住房公积金</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148.55</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148.55</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30312</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提租补贴</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27.38</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27.38</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30313</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购房补贴</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30314</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采暖补贴</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30315</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物业服务补贴</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30399</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其他对个人和家庭的补助支出</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16.19</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16.19</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b/>
                <w:bCs/>
                <w:sz w:val="20"/>
                <w:szCs w:val="20"/>
              </w:rPr>
            </w:pPr>
            <w:r>
              <w:rPr>
                <w:rFonts w:eastAsia="宋体"/>
                <w:b/>
                <w:bCs/>
                <w:sz w:val="20"/>
                <w:szCs w:val="20"/>
              </w:rPr>
              <w:t>310</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b/>
                <w:bCs/>
                <w:sz w:val="20"/>
                <w:szCs w:val="20"/>
              </w:rPr>
            </w:pPr>
            <w:r>
              <w:rPr>
                <w:rFonts w:hint="eastAsia" w:eastAsia="宋体" w:cs="宋体"/>
                <w:b/>
                <w:bCs/>
                <w:sz w:val="20"/>
                <w:szCs w:val="20"/>
              </w:rPr>
              <w:t>其他资本性支出</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　</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510" w:hRule="atLeast"/>
          <w:jc w:val="center"/>
        </w:trPr>
        <w:tc>
          <w:tcPr>
            <w:tcW w:w="13540" w:type="dxa"/>
            <w:gridSpan w:val="10"/>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注：</w:t>
            </w:r>
            <w:r>
              <w:rPr>
                <w:rFonts w:eastAsia="宋体"/>
                <w:sz w:val="20"/>
                <w:szCs w:val="20"/>
              </w:rPr>
              <w:t>1.</w:t>
            </w:r>
            <w:r>
              <w:rPr>
                <w:rFonts w:hint="eastAsia" w:eastAsia="宋体" w:cs="宋体"/>
                <w:sz w:val="20"/>
                <w:szCs w:val="20"/>
              </w:rPr>
              <w:t>本表反映部门本年度按经济分类财政拨款基本支出明细情况。财政拨款指一般公共预算财政拨款和政府性基金预算财政拨款。</w:t>
            </w:r>
            <w:r>
              <w:rPr>
                <w:rFonts w:eastAsia="宋体"/>
                <w:sz w:val="20"/>
                <w:szCs w:val="20"/>
              </w:rPr>
              <w:br w:type="textWrapping"/>
            </w:r>
            <w:r>
              <w:rPr>
                <w:rFonts w:eastAsia="宋体"/>
                <w:sz w:val="20"/>
                <w:szCs w:val="20"/>
              </w:rPr>
              <w:t xml:space="preserve">    </w:t>
            </w:r>
          </w:p>
        </w:tc>
      </w:tr>
    </w:tbl>
    <w:p>
      <w:pPr>
        <w:ind w:firstLine="0"/>
      </w:pPr>
    </w:p>
    <w:p>
      <w:pPr>
        <w:ind w:firstLine="0"/>
      </w:pPr>
    </w:p>
    <w:tbl>
      <w:tblPr>
        <w:tblStyle w:val="8"/>
        <w:tblW w:w="12751" w:type="dxa"/>
        <w:jc w:val="center"/>
        <w:tblInd w:w="0" w:type="dxa"/>
        <w:tblLayout w:type="fixed"/>
        <w:tblCellMar>
          <w:top w:w="0" w:type="dxa"/>
          <w:left w:w="108" w:type="dxa"/>
          <w:bottom w:w="0" w:type="dxa"/>
          <w:right w:w="108" w:type="dxa"/>
        </w:tblCellMar>
      </w:tblPr>
      <w:tblGrid>
        <w:gridCol w:w="1340"/>
        <w:gridCol w:w="2951"/>
        <w:gridCol w:w="2880"/>
        <w:gridCol w:w="2846"/>
        <w:gridCol w:w="2734"/>
      </w:tblGrid>
      <w:tr>
        <w:tblPrEx>
          <w:tblLayout w:type="fixed"/>
          <w:tblCellMar>
            <w:top w:w="0" w:type="dxa"/>
            <w:left w:w="108" w:type="dxa"/>
            <w:bottom w:w="0" w:type="dxa"/>
            <w:right w:w="108" w:type="dxa"/>
          </w:tblCellMar>
        </w:tblPrEx>
        <w:trPr>
          <w:trHeight w:val="960" w:hRule="atLeast"/>
          <w:jc w:val="center"/>
        </w:trPr>
        <w:tc>
          <w:tcPr>
            <w:tcW w:w="12751" w:type="dxa"/>
            <w:gridSpan w:val="5"/>
            <w:tcBorders>
              <w:top w:val="nil"/>
              <w:left w:val="nil"/>
              <w:bottom w:val="nil"/>
              <w:right w:val="nil"/>
            </w:tcBorders>
            <w:vAlign w:val="center"/>
          </w:tcPr>
          <w:p>
            <w:pPr>
              <w:widowControl/>
              <w:autoSpaceDE/>
              <w:autoSpaceDN/>
              <w:snapToGrid/>
              <w:spacing w:line="240" w:lineRule="auto"/>
              <w:ind w:firstLine="0"/>
              <w:jc w:val="center"/>
              <w:rPr>
                <w:rFonts w:eastAsia="方正小标宋_GBK"/>
                <w:sz w:val="40"/>
                <w:szCs w:val="40"/>
              </w:rPr>
            </w:pPr>
            <w:r>
              <w:rPr>
                <w:rFonts w:hint="eastAsia" w:ascii="宋体" w:hAnsi="宋体" w:eastAsia="宋体" w:cs="宋体"/>
                <w:b/>
                <w:bCs/>
                <w:sz w:val="36"/>
                <w:szCs w:val="36"/>
              </w:rPr>
              <w:t>一般公共预算财政拨款支出决算表（功能科目）</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nil"/>
              <w:bottom w:val="nil"/>
              <w:right w:val="nil"/>
            </w:tcBorders>
            <w:vAlign w:val="center"/>
          </w:tcPr>
          <w:p>
            <w:pPr>
              <w:widowControl/>
              <w:autoSpaceDE/>
              <w:autoSpaceDN/>
              <w:snapToGrid/>
              <w:spacing w:line="240" w:lineRule="auto"/>
              <w:ind w:firstLine="0"/>
              <w:jc w:val="center"/>
              <w:rPr>
                <w:rFonts w:eastAsia="方正小标宋_GBK"/>
                <w:sz w:val="40"/>
                <w:szCs w:val="40"/>
              </w:rPr>
            </w:pPr>
          </w:p>
        </w:tc>
        <w:tc>
          <w:tcPr>
            <w:tcW w:w="2951" w:type="dxa"/>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2880" w:type="dxa"/>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2846" w:type="dxa"/>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2734" w:type="dxa"/>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公开</w:t>
            </w:r>
            <w:r>
              <w:rPr>
                <w:rFonts w:eastAsia="宋体"/>
                <w:sz w:val="20"/>
                <w:szCs w:val="20"/>
              </w:rPr>
              <w:t>07</w:t>
            </w:r>
            <w:r>
              <w:rPr>
                <w:rFonts w:hint="eastAsia" w:eastAsia="宋体" w:cs="宋体"/>
                <w:sz w:val="20"/>
                <w:szCs w:val="20"/>
              </w:rPr>
              <w:t>表</w:t>
            </w:r>
          </w:p>
        </w:tc>
      </w:tr>
      <w:tr>
        <w:tblPrEx>
          <w:tblLayout w:type="fixed"/>
          <w:tblCellMar>
            <w:top w:w="0" w:type="dxa"/>
            <w:left w:w="108" w:type="dxa"/>
            <w:bottom w:w="0" w:type="dxa"/>
            <w:right w:w="108" w:type="dxa"/>
          </w:tblCellMar>
        </w:tblPrEx>
        <w:trPr>
          <w:trHeight w:val="319" w:hRule="atLeast"/>
          <w:jc w:val="center"/>
        </w:trPr>
        <w:tc>
          <w:tcPr>
            <w:tcW w:w="4291" w:type="dxa"/>
            <w:gridSpan w:val="2"/>
            <w:tcBorders>
              <w:top w:val="nil"/>
              <w:left w:val="nil"/>
              <w:bottom w:val="single" w:color="auto" w:sz="4" w:space="0"/>
              <w:right w:val="nil"/>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部门名称：海安市人民检察院</w:t>
            </w:r>
          </w:p>
        </w:tc>
        <w:tc>
          <w:tcPr>
            <w:tcW w:w="2880" w:type="dxa"/>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p>
        </w:tc>
        <w:tc>
          <w:tcPr>
            <w:tcW w:w="2846"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2734" w:type="dxa"/>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金额单位：万元</w:t>
            </w:r>
          </w:p>
        </w:tc>
      </w:tr>
      <w:tr>
        <w:tblPrEx>
          <w:tblLayout w:type="fixed"/>
          <w:tblCellMar>
            <w:top w:w="0" w:type="dxa"/>
            <w:left w:w="108" w:type="dxa"/>
            <w:bottom w:w="0" w:type="dxa"/>
            <w:right w:w="108" w:type="dxa"/>
          </w:tblCellMar>
        </w:tblPrEx>
        <w:trPr>
          <w:trHeight w:val="319" w:hRule="atLeast"/>
          <w:jc w:val="center"/>
        </w:trPr>
        <w:tc>
          <w:tcPr>
            <w:tcW w:w="4291"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项</w:t>
            </w:r>
            <w:r>
              <w:rPr>
                <w:rFonts w:eastAsia="宋体"/>
                <w:sz w:val="20"/>
                <w:szCs w:val="20"/>
              </w:rPr>
              <w:t xml:space="preserve">    </w:t>
            </w:r>
            <w:r>
              <w:rPr>
                <w:rFonts w:hint="eastAsia" w:eastAsia="宋体" w:cs="宋体"/>
                <w:sz w:val="20"/>
                <w:szCs w:val="20"/>
              </w:rPr>
              <w:t>目</w:t>
            </w:r>
          </w:p>
        </w:tc>
        <w:tc>
          <w:tcPr>
            <w:tcW w:w="288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本年支出合计</w:t>
            </w:r>
          </w:p>
        </w:tc>
        <w:tc>
          <w:tcPr>
            <w:tcW w:w="2846" w:type="dxa"/>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基本支出</w:t>
            </w:r>
            <w:r>
              <w:rPr>
                <w:rFonts w:eastAsia="宋体"/>
                <w:sz w:val="20"/>
                <w:szCs w:val="20"/>
              </w:rPr>
              <w:t xml:space="preserve">  </w:t>
            </w:r>
          </w:p>
        </w:tc>
        <w:tc>
          <w:tcPr>
            <w:tcW w:w="2734" w:type="dxa"/>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项目支出</w:t>
            </w:r>
          </w:p>
        </w:tc>
      </w:tr>
      <w:tr>
        <w:tblPrEx>
          <w:tblLayout w:type="fixed"/>
          <w:tblCellMar>
            <w:top w:w="0" w:type="dxa"/>
            <w:left w:w="108" w:type="dxa"/>
            <w:bottom w:w="0" w:type="dxa"/>
            <w:right w:w="108" w:type="dxa"/>
          </w:tblCellMar>
        </w:tblPrEx>
        <w:trPr>
          <w:trHeight w:val="642"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功能分类科目编码</w:t>
            </w:r>
          </w:p>
        </w:tc>
        <w:tc>
          <w:tcPr>
            <w:tcW w:w="295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科目名称</w:t>
            </w: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2846"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2734"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r>
      <w:tr>
        <w:tblPrEx>
          <w:tblLayout w:type="fixed"/>
          <w:tblCellMar>
            <w:top w:w="0" w:type="dxa"/>
            <w:left w:w="108" w:type="dxa"/>
            <w:bottom w:w="0" w:type="dxa"/>
            <w:right w:w="108" w:type="dxa"/>
          </w:tblCellMar>
        </w:tblPrEx>
        <w:trPr>
          <w:trHeight w:val="319" w:hRule="atLeast"/>
          <w:jc w:val="center"/>
        </w:trPr>
        <w:tc>
          <w:tcPr>
            <w:tcW w:w="4291"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栏次</w:t>
            </w:r>
          </w:p>
        </w:tc>
        <w:tc>
          <w:tcPr>
            <w:tcW w:w="28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w:t>
            </w:r>
          </w:p>
        </w:tc>
        <w:tc>
          <w:tcPr>
            <w:tcW w:w="284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w:t>
            </w:r>
          </w:p>
        </w:tc>
        <w:tc>
          <w:tcPr>
            <w:tcW w:w="2734"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w:t>
            </w:r>
          </w:p>
        </w:tc>
      </w:tr>
      <w:tr>
        <w:tblPrEx>
          <w:tblLayout w:type="fixed"/>
          <w:tblCellMar>
            <w:top w:w="0" w:type="dxa"/>
            <w:left w:w="108" w:type="dxa"/>
            <w:bottom w:w="0" w:type="dxa"/>
            <w:right w:w="108" w:type="dxa"/>
          </w:tblCellMar>
        </w:tblPrEx>
        <w:trPr>
          <w:trHeight w:val="319" w:hRule="atLeast"/>
          <w:jc w:val="center"/>
        </w:trPr>
        <w:tc>
          <w:tcPr>
            <w:tcW w:w="4291"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合计</w:t>
            </w:r>
          </w:p>
        </w:tc>
        <w:tc>
          <w:tcPr>
            <w:tcW w:w="28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3450.00</w:t>
            </w:r>
          </w:p>
        </w:tc>
        <w:tc>
          <w:tcPr>
            <w:tcW w:w="2846"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2260.49</w:t>
            </w:r>
          </w:p>
        </w:tc>
        <w:tc>
          <w:tcPr>
            <w:tcW w:w="2734"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1189.51</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w:t>
            </w:r>
          </w:p>
        </w:tc>
        <w:tc>
          <w:tcPr>
            <w:tcW w:w="2951"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公共安全支出</w:t>
            </w:r>
          </w:p>
        </w:tc>
        <w:tc>
          <w:tcPr>
            <w:tcW w:w="2880"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3128.66</w:t>
            </w:r>
          </w:p>
        </w:tc>
        <w:tc>
          <w:tcPr>
            <w:tcW w:w="284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1939.15</w:t>
            </w:r>
          </w:p>
        </w:tc>
        <w:tc>
          <w:tcPr>
            <w:tcW w:w="2734"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1189.51</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20404</w:t>
            </w:r>
          </w:p>
        </w:tc>
        <w:tc>
          <w:tcPr>
            <w:tcW w:w="2951"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检察</w:t>
            </w:r>
          </w:p>
        </w:tc>
        <w:tc>
          <w:tcPr>
            <w:tcW w:w="2880"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3128.66</w:t>
            </w:r>
          </w:p>
        </w:tc>
        <w:tc>
          <w:tcPr>
            <w:tcW w:w="284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1939.15</w:t>
            </w:r>
          </w:p>
        </w:tc>
        <w:tc>
          <w:tcPr>
            <w:tcW w:w="2734"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1189.51</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2040401</w:t>
            </w:r>
          </w:p>
        </w:tc>
        <w:tc>
          <w:tcPr>
            <w:tcW w:w="2951"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行政运行</w:t>
            </w:r>
          </w:p>
        </w:tc>
        <w:tc>
          <w:tcPr>
            <w:tcW w:w="2880"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1757.95</w:t>
            </w:r>
          </w:p>
        </w:tc>
        <w:tc>
          <w:tcPr>
            <w:tcW w:w="284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1757.95</w:t>
            </w:r>
          </w:p>
        </w:tc>
        <w:tc>
          <w:tcPr>
            <w:tcW w:w="2734"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2040402</w:t>
            </w:r>
          </w:p>
        </w:tc>
        <w:tc>
          <w:tcPr>
            <w:tcW w:w="2951"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16"/>
                <w:szCs w:val="16"/>
              </w:rPr>
            </w:pPr>
            <w:r>
              <w:rPr>
                <w:rFonts w:hint="eastAsia" w:eastAsia="宋体" w:cs="宋体"/>
                <w:sz w:val="16"/>
                <w:szCs w:val="16"/>
              </w:rPr>
              <w:t>一般行政管理事务</w:t>
            </w:r>
          </w:p>
        </w:tc>
        <w:tc>
          <w:tcPr>
            <w:tcW w:w="2880"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502.95</w:t>
            </w:r>
          </w:p>
        </w:tc>
        <w:tc>
          <w:tcPr>
            <w:tcW w:w="284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181.20</w:t>
            </w:r>
          </w:p>
        </w:tc>
        <w:tc>
          <w:tcPr>
            <w:tcW w:w="2734"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321.75</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2040404</w:t>
            </w:r>
          </w:p>
        </w:tc>
        <w:tc>
          <w:tcPr>
            <w:tcW w:w="2951"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16"/>
                <w:szCs w:val="16"/>
              </w:rPr>
            </w:pPr>
            <w:r>
              <w:rPr>
                <w:rFonts w:hint="eastAsia" w:eastAsia="宋体" w:cs="宋体"/>
                <w:sz w:val="16"/>
                <w:szCs w:val="16"/>
              </w:rPr>
              <w:t>查办和预防职务犯罪</w:t>
            </w:r>
          </w:p>
        </w:tc>
        <w:tc>
          <w:tcPr>
            <w:tcW w:w="2880"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388.08</w:t>
            </w:r>
          </w:p>
        </w:tc>
        <w:tc>
          <w:tcPr>
            <w:tcW w:w="284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c>
          <w:tcPr>
            <w:tcW w:w="2734"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388.08</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2040405</w:t>
            </w:r>
          </w:p>
        </w:tc>
        <w:tc>
          <w:tcPr>
            <w:tcW w:w="2951"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公诉和审判监督</w:t>
            </w:r>
          </w:p>
        </w:tc>
        <w:tc>
          <w:tcPr>
            <w:tcW w:w="2880"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5.30</w:t>
            </w:r>
          </w:p>
        </w:tc>
        <w:tc>
          <w:tcPr>
            <w:tcW w:w="284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c>
          <w:tcPr>
            <w:tcW w:w="2734"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5.30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2040408</w:t>
            </w:r>
          </w:p>
        </w:tc>
        <w:tc>
          <w:tcPr>
            <w:tcW w:w="2951"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控告申诉</w:t>
            </w:r>
          </w:p>
        </w:tc>
        <w:tc>
          <w:tcPr>
            <w:tcW w:w="2880"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6.60</w:t>
            </w:r>
          </w:p>
        </w:tc>
        <w:tc>
          <w:tcPr>
            <w:tcW w:w="284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c>
          <w:tcPr>
            <w:tcW w:w="2734"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6.60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2040409</w:t>
            </w:r>
          </w:p>
        </w:tc>
        <w:tc>
          <w:tcPr>
            <w:tcW w:w="2951"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两房建设</w:t>
            </w:r>
          </w:p>
        </w:tc>
        <w:tc>
          <w:tcPr>
            <w:tcW w:w="2880"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100.00</w:t>
            </w:r>
          </w:p>
        </w:tc>
        <w:tc>
          <w:tcPr>
            <w:tcW w:w="284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c>
          <w:tcPr>
            <w:tcW w:w="2734"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100.00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2040499</w:t>
            </w:r>
          </w:p>
        </w:tc>
        <w:tc>
          <w:tcPr>
            <w:tcW w:w="2951"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 xml:space="preserve"> </w:t>
            </w:r>
            <w:r>
              <w:rPr>
                <w:rFonts w:hint="eastAsia" w:eastAsia="宋体" w:cs="宋体"/>
                <w:sz w:val="20"/>
                <w:szCs w:val="20"/>
              </w:rPr>
              <w:t>其他检察支出</w:t>
            </w:r>
          </w:p>
        </w:tc>
        <w:tc>
          <w:tcPr>
            <w:tcW w:w="2880"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367.78</w:t>
            </w:r>
          </w:p>
        </w:tc>
        <w:tc>
          <w:tcPr>
            <w:tcW w:w="284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c>
          <w:tcPr>
            <w:tcW w:w="2734"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367.78</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208</w:t>
            </w:r>
          </w:p>
        </w:tc>
        <w:tc>
          <w:tcPr>
            <w:tcW w:w="2951"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16"/>
                <w:szCs w:val="16"/>
              </w:rPr>
            </w:pPr>
            <w:r>
              <w:rPr>
                <w:rFonts w:hint="eastAsia" w:eastAsia="宋体" w:cs="宋体"/>
                <w:sz w:val="16"/>
                <w:szCs w:val="16"/>
              </w:rPr>
              <w:t>社会保障和就业支出</w:t>
            </w:r>
          </w:p>
        </w:tc>
        <w:tc>
          <w:tcPr>
            <w:tcW w:w="2880"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145.41</w:t>
            </w:r>
          </w:p>
        </w:tc>
        <w:tc>
          <w:tcPr>
            <w:tcW w:w="284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145.41</w:t>
            </w:r>
          </w:p>
        </w:tc>
        <w:tc>
          <w:tcPr>
            <w:tcW w:w="2734"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20805</w:t>
            </w:r>
          </w:p>
        </w:tc>
        <w:tc>
          <w:tcPr>
            <w:tcW w:w="2951"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15"/>
                <w:szCs w:val="15"/>
              </w:rPr>
            </w:pPr>
            <w:r>
              <w:rPr>
                <w:rFonts w:hint="eastAsia" w:eastAsia="宋体" w:cs="宋体"/>
                <w:sz w:val="15"/>
                <w:szCs w:val="15"/>
              </w:rPr>
              <w:t>行政事业单位离退休</w:t>
            </w:r>
          </w:p>
        </w:tc>
        <w:tc>
          <w:tcPr>
            <w:tcW w:w="2880"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145.41</w:t>
            </w:r>
          </w:p>
        </w:tc>
        <w:tc>
          <w:tcPr>
            <w:tcW w:w="284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145.41</w:t>
            </w:r>
          </w:p>
        </w:tc>
        <w:tc>
          <w:tcPr>
            <w:tcW w:w="2734"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2080505</w:t>
            </w:r>
          </w:p>
        </w:tc>
        <w:tc>
          <w:tcPr>
            <w:tcW w:w="2951"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15"/>
                <w:szCs w:val="15"/>
              </w:rPr>
            </w:pPr>
            <w:r>
              <w:rPr>
                <w:rFonts w:eastAsia="宋体"/>
                <w:sz w:val="15"/>
                <w:szCs w:val="15"/>
              </w:rPr>
              <w:t xml:space="preserve"> </w:t>
            </w:r>
            <w:r>
              <w:rPr>
                <w:rFonts w:hint="eastAsia" w:eastAsia="宋体" w:cs="宋体"/>
                <w:sz w:val="15"/>
                <w:szCs w:val="15"/>
              </w:rPr>
              <w:t>机关事业单位基本养老保险缴费支出★</w:t>
            </w:r>
          </w:p>
        </w:tc>
        <w:tc>
          <w:tcPr>
            <w:tcW w:w="2880"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145.41</w:t>
            </w:r>
          </w:p>
        </w:tc>
        <w:tc>
          <w:tcPr>
            <w:tcW w:w="284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145.41</w:t>
            </w:r>
          </w:p>
        </w:tc>
        <w:tc>
          <w:tcPr>
            <w:tcW w:w="2734"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221</w:t>
            </w:r>
          </w:p>
        </w:tc>
        <w:tc>
          <w:tcPr>
            <w:tcW w:w="2951"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住房保障支出</w:t>
            </w:r>
          </w:p>
        </w:tc>
        <w:tc>
          <w:tcPr>
            <w:tcW w:w="2880"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175.93</w:t>
            </w:r>
          </w:p>
        </w:tc>
        <w:tc>
          <w:tcPr>
            <w:tcW w:w="284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175.93</w:t>
            </w:r>
          </w:p>
        </w:tc>
        <w:tc>
          <w:tcPr>
            <w:tcW w:w="2734"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22102</w:t>
            </w:r>
          </w:p>
        </w:tc>
        <w:tc>
          <w:tcPr>
            <w:tcW w:w="2951"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住房改革支出</w:t>
            </w:r>
          </w:p>
        </w:tc>
        <w:tc>
          <w:tcPr>
            <w:tcW w:w="2880" w:type="dxa"/>
            <w:tcBorders>
              <w:top w:val="nil"/>
              <w:left w:val="nil"/>
              <w:bottom w:val="single" w:color="auto" w:sz="4" w:space="0"/>
              <w:right w:val="single" w:color="auto" w:sz="4" w:space="0"/>
            </w:tcBorders>
            <w:vAlign w:val="center"/>
          </w:tcPr>
          <w:p>
            <w:pPr>
              <w:widowControl/>
              <w:autoSpaceDE/>
              <w:autoSpaceDN/>
              <w:snapToGrid/>
              <w:spacing w:line="300" w:lineRule="exact"/>
              <w:ind w:right="400" w:firstLine="0"/>
              <w:jc w:val="center"/>
              <w:rPr>
                <w:rFonts w:eastAsia="宋体"/>
                <w:sz w:val="20"/>
                <w:szCs w:val="20"/>
              </w:rPr>
            </w:pPr>
            <w:r>
              <w:rPr>
                <w:rFonts w:eastAsia="宋体"/>
                <w:sz w:val="20"/>
                <w:szCs w:val="20"/>
              </w:rPr>
              <w:t xml:space="preserve">    175.93</w:t>
            </w:r>
          </w:p>
        </w:tc>
        <w:tc>
          <w:tcPr>
            <w:tcW w:w="284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175.93</w:t>
            </w:r>
          </w:p>
        </w:tc>
        <w:tc>
          <w:tcPr>
            <w:tcW w:w="2734"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2210201</w:t>
            </w:r>
          </w:p>
        </w:tc>
        <w:tc>
          <w:tcPr>
            <w:tcW w:w="2951"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hint="eastAsia" w:eastAsia="宋体" w:cs="宋体"/>
                <w:sz w:val="20"/>
                <w:szCs w:val="20"/>
              </w:rPr>
              <w:t>住房公积金</w:t>
            </w:r>
          </w:p>
        </w:tc>
        <w:tc>
          <w:tcPr>
            <w:tcW w:w="2880"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148.55</w:t>
            </w:r>
          </w:p>
        </w:tc>
        <w:tc>
          <w:tcPr>
            <w:tcW w:w="284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148.55</w:t>
            </w:r>
          </w:p>
        </w:tc>
        <w:tc>
          <w:tcPr>
            <w:tcW w:w="2734"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2210202</w:t>
            </w:r>
          </w:p>
        </w:tc>
        <w:tc>
          <w:tcPr>
            <w:tcW w:w="2951" w:type="dxa"/>
            <w:tcBorders>
              <w:top w:val="nil"/>
              <w:left w:val="nil"/>
              <w:bottom w:val="single" w:color="auto" w:sz="4" w:space="0"/>
              <w:right w:val="single" w:color="auto" w:sz="4" w:space="0"/>
            </w:tcBorders>
            <w:vAlign w:val="center"/>
          </w:tcPr>
          <w:p>
            <w:pPr>
              <w:widowControl/>
              <w:autoSpaceDE/>
              <w:autoSpaceDN/>
              <w:snapToGrid/>
              <w:spacing w:line="300" w:lineRule="exact"/>
              <w:ind w:firstLine="400" w:firstLineChars="200"/>
              <w:rPr>
                <w:rFonts w:eastAsia="宋体"/>
                <w:sz w:val="20"/>
                <w:szCs w:val="20"/>
              </w:rPr>
            </w:pPr>
            <w:r>
              <w:rPr>
                <w:rFonts w:hint="eastAsia" w:eastAsia="宋体" w:cs="宋体"/>
                <w:sz w:val="20"/>
                <w:szCs w:val="20"/>
              </w:rPr>
              <w:t>提租补贴</w:t>
            </w:r>
          </w:p>
        </w:tc>
        <w:tc>
          <w:tcPr>
            <w:tcW w:w="2880"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27.38</w:t>
            </w:r>
          </w:p>
        </w:tc>
        <w:tc>
          <w:tcPr>
            <w:tcW w:w="2846"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27.38</w:t>
            </w:r>
          </w:p>
        </w:tc>
        <w:tc>
          <w:tcPr>
            <w:tcW w:w="2734" w:type="dxa"/>
            <w:tcBorders>
              <w:top w:val="nil"/>
              <w:left w:val="nil"/>
              <w:bottom w:val="single" w:color="auto" w:sz="4" w:space="0"/>
              <w:right w:val="single" w:color="auto" w:sz="4" w:space="0"/>
            </w:tcBorders>
            <w:vAlign w:val="center"/>
          </w:tcPr>
          <w:p>
            <w:pPr>
              <w:widowControl/>
              <w:autoSpaceDE/>
              <w:autoSpaceDN/>
              <w:snapToGrid/>
              <w:spacing w:line="300" w:lineRule="exact"/>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615" w:hRule="atLeast"/>
          <w:jc w:val="center"/>
        </w:trPr>
        <w:tc>
          <w:tcPr>
            <w:tcW w:w="12751" w:type="dxa"/>
            <w:gridSpan w:val="5"/>
            <w:tcBorders>
              <w:top w:val="nil"/>
              <w:left w:val="nil"/>
              <w:bottom w:val="nil"/>
              <w:right w:val="nil"/>
            </w:tcBorders>
            <w:vAlign w:val="center"/>
          </w:tcPr>
          <w:p>
            <w:pPr>
              <w:widowControl/>
              <w:autoSpaceDE/>
              <w:autoSpaceDN/>
              <w:snapToGrid/>
              <w:spacing w:line="300" w:lineRule="exact"/>
              <w:ind w:firstLine="0"/>
              <w:jc w:val="left"/>
              <w:rPr>
                <w:rFonts w:eastAsia="宋体"/>
                <w:sz w:val="20"/>
                <w:szCs w:val="20"/>
              </w:rPr>
            </w:pPr>
            <w:r>
              <w:rPr>
                <w:rFonts w:hint="eastAsia" w:eastAsia="宋体" w:cs="宋体"/>
                <w:sz w:val="20"/>
                <w:szCs w:val="20"/>
              </w:rPr>
              <w:t>注：</w:t>
            </w:r>
            <w:r>
              <w:rPr>
                <w:rFonts w:eastAsia="宋体"/>
                <w:sz w:val="20"/>
                <w:szCs w:val="20"/>
              </w:rPr>
              <w:t>1.</w:t>
            </w:r>
            <w:r>
              <w:rPr>
                <w:rFonts w:hint="eastAsia" w:eastAsia="宋体" w:cs="宋体"/>
                <w:sz w:val="20"/>
                <w:szCs w:val="20"/>
              </w:rPr>
              <w:t>本表反映部门本年度按功能分类一般公共预算财政拨款实际支出情况。</w:t>
            </w:r>
            <w:r>
              <w:rPr>
                <w:rFonts w:eastAsia="宋体"/>
                <w:sz w:val="20"/>
                <w:szCs w:val="20"/>
              </w:rPr>
              <w:br w:type="textWrapping"/>
            </w:r>
            <w:r>
              <w:rPr>
                <w:rFonts w:eastAsia="宋体"/>
                <w:sz w:val="20"/>
                <w:szCs w:val="20"/>
              </w:rPr>
              <w:t xml:space="preserve">    </w:t>
            </w:r>
          </w:p>
        </w:tc>
      </w:tr>
    </w:tbl>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tbl>
      <w:tblPr>
        <w:tblStyle w:val="8"/>
        <w:tblW w:w="13541" w:type="dxa"/>
        <w:jc w:val="center"/>
        <w:tblInd w:w="0" w:type="dxa"/>
        <w:tblLayout w:type="fixed"/>
        <w:tblCellMar>
          <w:top w:w="0" w:type="dxa"/>
          <w:left w:w="108" w:type="dxa"/>
          <w:bottom w:w="0" w:type="dxa"/>
          <w:right w:w="108" w:type="dxa"/>
        </w:tblCellMar>
      </w:tblPr>
      <w:tblGrid>
        <w:gridCol w:w="1340"/>
        <w:gridCol w:w="11"/>
        <w:gridCol w:w="2529"/>
        <w:gridCol w:w="22"/>
        <w:gridCol w:w="3198"/>
        <w:gridCol w:w="63"/>
        <w:gridCol w:w="3119"/>
        <w:gridCol w:w="38"/>
        <w:gridCol w:w="3221"/>
      </w:tblGrid>
      <w:tr>
        <w:tblPrEx>
          <w:tblLayout w:type="fixed"/>
          <w:tblCellMar>
            <w:top w:w="0" w:type="dxa"/>
            <w:left w:w="108" w:type="dxa"/>
            <w:bottom w:w="0" w:type="dxa"/>
            <w:right w:w="108" w:type="dxa"/>
          </w:tblCellMar>
        </w:tblPrEx>
        <w:trPr>
          <w:trHeight w:val="960" w:hRule="atLeast"/>
          <w:jc w:val="center"/>
        </w:trPr>
        <w:tc>
          <w:tcPr>
            <w:tcW w:w="13541" w:type="dxa"/>
            <w:gridSpan w:val="9"/>
            <w:tcBorders>
              <w:top w:val="nil"/>
              <w:left w:val="nil"/>
              <w:bottom w:val="nil"/>
              <w:right w:val="nil"/>
            </w:tcBorders>
            <w:vAlign w:val="center"/>
          </w:tcPr>
          <w:p>
            <w:pPr>
              <w:widowControl/>
              <w:autoSpaceDE/>
              <w:autoSpaceDN/>
              <w:snapToGrid/>
              <w:spacing w:line="240" w:lineRule="auto"/>
              <w:ind w:firstLine="0"/>
              <w:jc w:val="center"/>
              <w:rPr>
                <w:rFonts w:ascii="宋体" w:hAnsi="宋体" w:eastAsia="宋体"/>
                <w:b/>
                <w:bCs/>
                <w:sz w:val="36"/>
                <w:szCs w:val="36"/>
              </w:rPr>
            </w:pPr>
            <w:r>
              <w:rPr>
                <w:rFonts w:hint="eastAsia" w:ascii="宋体" w:hAnsi="宋体" w:eastAsia="宋体" w:cs="宋体"/>
                <w:b/>
                <w:bCs/>
                <w:sz w:val="36"/>
                <w:szCs w:val="36"/>
              </w:rPr>
              <w:t>一般公共预算财政拨款基本支出决算表（经济科目）</w:t>
            </w:r>
          </w:p>
        </w:tc>
      </w:tr>
      <w:tr>
        <w:tblPrEx>
          <w:tblLayout w:type="fixed"/>
          <w:tblCellMar>
            <w:top w:w="0" w:type="dxa"/>
            <w:left w:w="108" w:type="dxa"/>
            <w:bottom w:w="0" w:type="dxa"/>
            <w:right w:w="108" w:type="dxa"/>
          </w:tblCellMar>
        </w:tblPrEx>
        <w:trPr>
          <w:trHeight w:val="319" w:hRule="atLeast"/>
          <w:jc w:val="center"/>
        </w:trPr>
        <w:tc>
          <w:tcPr>
            <w:tcW w:w="1351" w:type="dxa"/>
            <w:gridSpan w:val="2"/>
            <w:tcBorders>
              <w:top w:val="nil"/>
              <w:left w:val="nil"/>
              <w:bottom w:val="nil"/>
              <w:right w:val="nil"/>
            </w:tcBorders>
            <w:vAlign w:val="center"/>
          </w:tcPr>
          <w:p>
            <w:pPr>
              <w:widowControl/>
              <w:autoSpaceDE/>
              <w:autoSpaceDN/>
              <w:snapToGrid/>
              <w:spacing w:line="240" w:lineRule="auto"/>
              <w:ind w:firstLine="0"/>
              <w:jc w:val="center"/>
              <w:rPr>
                <w:rFonts w:eastAsia="方正小标宋_GBK"/>
                <w:sz w:val="36"/>
                <w:szCs w:val="36"/>
              </w:rPr>
            </w:pPr>
          </w:p>
        </w:tc>
        <w:tc>
          <w:tcPr>
            <w:tcW w:w="2551" w:type="dxa"/>
            <w:gridSpan w:val="2"/>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3261" w:type="dxa"/>
            <w:gridSpan w:val="2"/>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3119" w:type="dxa"/>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3259" w:type="dxa"/>
            <w:gridSpan w:val="2"/>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公开</w:t>
            </w:r>
            <w:r>
              <w:rPr>
                <w:rFonts w:eastAsia="宋体"/>
                <w:sz w:val="20"/>
                <w:szCs w:val="20"/>
              </w:rPr>
              <w:t>08</w:t>
            </w:r>
            <w:r>
              <w:rPr>
                <w:rFonts w:hint="eastAsia" w:eastAsia="宋体" w:cs="宋体"/>
                <w:sz w:val="20"/>
                <w:szCs w:val="20"/>
              </w:rPr>
              <w:t>表</w:t>
            </w:r>
          </w:p>
        </w:tc>
      </w:tr>
      <w:tr>
        <w:tblPrEx>
          <w:tblLayout w:type="fixed"/>
          <w:tblCellMar>
            <w:top w:w="0" w:type="dxa"/>
            <w:left w:w="108" w:type="dxa"/>
            <w:bottom w:w="0" w:type="dxa"/>
            <w:right w:w="108" w:type="dxa"/>
          </w:tblCellMar>
        </w:tblPrEx>
        <w:trPr>
          <w:trHeight w:val="319" w:hRule="atLeast"/>
          <w:jc w:val="center"/>
        </w:trPr>
        <w:tc>
          <w:tcPr>
            <w:tcW w:w="3902" w:type="dxa"/>
            <w:gridSpan w:val="4"/>
            <w:tcBorders>
              <w:top w:val="nil"/>
              <w:left w:val="nil"/>
              <w:bottom w:val="single" w:color="auto" w:sz="4" w:space="0"/>
              <w:right w:val="nil"/>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部门名称：海安市人民检察院</w:t>
            </w:r>
          </w:p>
        </w:tc>
        <w:tc>
          <w:tcPr>
            <w:tcW w:w="3261" w:type="dxa"/>
            <w:gridSpan w:val="2"/>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p>
        </w:tc>
        <w:tc>
          <w:tcPr>
            <w:tcW w:w="3119"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3259" w:type="dxa"/>
            <w:gridSpan w:val="2"/>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金额单位：万元</w:t>
            </w:r>
          </w:p>
        </w:tc>
      </w:tr>
      <w:tr>
        <w:tblPrEx>
          <w:tblLayout w:type="fixed"/>
          <w:tblCellMar>
            <w:top w:w="0" w:type="dxa"/>
            <w:left w:w="108" w:type="dxa"/>
            <w:bottom w:w="0" w:type="dxa"/>
            <w:right w:w="108" w:type="dxa"/>
          </w:tblCellMar>
        </w:tblPrEx>
        <w:trPr>
          <w:trHeight w:val="319" w:hRule="atLeast"/>
          <w:jc w:val="center"/>
        </w:trPr>
        <w:tc>
          <w:tcPr>
            <w:tcW w:w="3880" w:type="dxa"/>
            <w:gridSpan w:val="3"/>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项</w:t>
            </w:r>
            <w:r>
              <w:rPr>
                <w:rFonts w:eastAsia="宋体"/>
                <w:sz w:val="20"/>
                <w:szCs w:val="20"/>
              </w:rPr>
              <w:t xml:space="preserve">    </w:t>
            </w:r>
            <w:r>
              <w:rPr>
                <w:rFonts w:hint="eastAsia" w:eastAsia="宋体" w:cs="宋体"/>
                <w:sz w:val="20"/>
                <w:szCs w:val="20"/>
              </w:rPr>
              <w:t>目</w:t>
            </w:r>
          </w:p>
        </w:tc>
        <w:tc>
          <w:tcPr>
            <w:tcW w:w="322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本年支出合计</w:t>
            </w:r>
          </w:p>
        </w:tc>
        <w:tc>
          <w:tcPr>
            <w:tcW w:w="322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人员经费</w:t>
            </w:r>
          </w:p>
        </w:tc>
        <w:tc>
          <w:tcPr>
            <w:tcW w:w="3221" w:type="dxa"/>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日常公用经费</w:t>
            </w:r>
          </w:p>
        </w:tc>
      </w:tr>
      <w:tr>
        <w:tblPrEx>
          <w:tblLayout w:type="fixed"/>
          <w:tblCellMar>
            <w:top w:w="0" w:type="dxa"/>
            <w:left w:w="108" w:type="dxa"/>
            <w:bottom w:w="0" w:type="dxa"/>
            <w:right w:w="108" w:type="dxa"/>
          </w:tblCellMar>
        </w:tblPrEx>
        <w:trPr>
          <w:trHeight w:val="319" w:hRule="atLeast"/>
          <w:jc w:val="center"/>
        </w:trPr>
        <w:tc>
          <w:tcPr>
            <w:tcW w:w="1340" w:type="dxa"/>
            <w:vMerge w:val="restart"/>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经济分类科目编码</w:t>
            </w:r>
          </w:p>
        </w:tc>
        <w:tc>
          <w:tcPr>
            <w:tcW w:w="2540" w:type="dxa"/>
            <w:gridSpan w:val="2"/>
            <w:vMerge w:val="restart"/>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科目名称</w:t>
            </w: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21"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r>
      <w:tr>
        <w:tblPrEx>
          <w:tblLayout w:type="fixed"/>
          <w:tblCellMar>
            <w:top w:w="0" w:type="dxa"/>
            <w:left w:w="108" w:type="dxa"/>
            <w:bottom w:w="0" w:type="dxa"/>
            <w:right w:w="108" w:type="dxa"/>
          </w:tblCellMar>
        </w:tblPrEx>
        <w:trPr>
          <w:trHeight w:val="319" w:hRule="atLeast"/>
          <w:jc w:val="center"/>
        </w:trPr>
        <w:tc>
          <w:tcPr>
            <w:tcW w:w="1340" w:type="dxa"/>
            <w:vMerge w:val="continue"/>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2540" w:type="dxa"/>
            <w:gridSpan w:val="2"/>
            <w:vMerge w:val="continue"/>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21"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r>
      <w:tr>
        <w:tblPrEx>
          <w:tblLayout w:type="fixed"/>
          <w:tblCellMar>
            <w:top w:w="0" w:type="dxa"/>
            <w:left w:w="108" w:type="dxa"/>
            <w:bottom w:w="0" w:type="dxa"/>
            <w:right w:w="108" w:type="dxa"/>
          </w:tblCellMar>
        </w:tblPrEx>
        <w:trPr>
          <w:trHeight w:val="312" w:hRule="atLeast"/>
          <w:jc w:val="center"/>
        </w:trPr>
        <w:tc>
          <w:tcPr>
            <w:tcW w:w="1340" w:type="dxa"/>
            <w:vMerge w:val="continue"/>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2540" w:type="dxa"/>
            <w:gridSpan w:val="2"/>
            <w:vMerge w:val="continue"/>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21"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r>
      <w:tr>
        <w:tblPrEx>
          <w:tblLayout w:type="fixed"/>
          <w:tblCellMar>
            <w:top w:w="0" w:type="dxa"/>
            <w:left w:w="108" w:type="dxa"/>
            <w:bottom w:w="0" w:type="dxa"/>
            <w:right w:w="108" w:type="dxa"/>
          </w:tblCellMar>
        </w:tblPrEx>
        <w:trPr>
          <w:trHeight w:val="319" w:hRule="atLeast"/>
          <w:jc w:val="center"/>
        </w:trPr>
        <w:tc>
          <w:tcPr>
            <w:tcW w:w="3880" w:type="dxa"/>
            <w:gridSpan w:val="3"/>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合计</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2260.49</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2040.15</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220.34</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b/>
                <w:bCs/>
                <w:sz w:val="20"/>
                <w:szCs w:val="20"/>
              </w:rPr>
            </w:pPr>
            <w:r>
              <w:rPr>
                <w:rFonts w:eastAsia="宋体"/>
                <w:b/>
                <w:bCs/>
                <w:sz w:val="20"/>
                <w:szCs w:val="20"/>
              </w:rPr>
              <w:t>301</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b/>
                <w:bCs/>
                <w:sz w:val="20"/>
                <w:szCs w:val="20"/>
              </w:rPr>
            </w:pPr>
            <w:r>
              <w:rPr>
                <w:rFonts w:hint="eastAsia" w:eastAsia="宋体" w:cs="宋体"/>
                <w:b/>
                <w:bCs/>
                <w:sz w:val="20"/>
                <w:szCs w:val="20"/>
              </w:rPr>
              <w:t>工资福利支出</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1795.97</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1795.97</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30101</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基本工资</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327.45</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327.45</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30102</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津贴补贴</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473.21</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473.21</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30103</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200" w:firstLineChars="100"/>
              <w:jc w:val="left"/>
              <w:rPr>
                <w:rFonts w:eastAsia="宋体"/>
                <w:sz w:val="20"/>
                <w:szCs w:val="20"/>
              </w:rPr>
            </w:pPr>
            <w:r>
              <w:rPr>
                <w:rFonts w:hint="eastAsia" w:eastAsia="宋体" w:cs="宋体"/>
                <w:sz w:val="20"/>
                <w:szCs w:val="20"/>
              </w:rPr>
              <w:t>奖金</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705.30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705.30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30104</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其他社会保障缴费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122.10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122.10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30106</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伙食补助费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30107</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绩效工资</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30108</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机关事业单位基本养老保险缴费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145.41</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145.41</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30109</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职业年金缴费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30199</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其他工资福利支出</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22.50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22.50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b/>
                <w:bCs/>
                <w:sz w:val="20"/>
                <w:szCs w:val="20"/>
              </w:rPr>
            </w:pPr>
            <w:r>
              <w:rPr>
                <w:rFonts w:eastAsia="宋体"/>
                <w:b/>
                <w:bCs/>
                <w:sz w:val="20"/>
                <w:szCs w:val="20"/>
              </w:rPr>
              <w:t>302</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b/>
                <w:bCs/>
                <w:sz w:val="20"/>
                <w:szCs w:val="20"/>
              </w:rPr>
            </w:pPr>
            <w:r>
              <w:rPr>
                <w:rFonts w:hint="eastAsia" w:eastAsia="宋体" w:cs="宋体"/>
                <w:b/>
                <w:bCs/>
                <w:sz w:val="20"/>
                <w:szCs w:val="20"/>
              </w:rPr>
              <w:t>商品和服务支出</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220.34</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220.34</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30201</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办公费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9.78</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9.78</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30202</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印刷费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0.02</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0.02</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30203</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咨询费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30204</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手续费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30205</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水费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1.55</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1.55</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30206</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电费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49.38</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49.38</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30207</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邮电费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10.73</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10.73</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30208</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取暖费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30209</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物业管理费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1.47</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1.47</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30211</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差旅费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0.13</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0.13</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30212</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因公出国（境）费用</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30213</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维修（护）费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5.58</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5.58</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30214</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租赁费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0.72</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0.72</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30215</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会议费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0.85</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0.85</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30216</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培训费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0.04</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0.04</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30217</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公务接待费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1.72</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1.72</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30218</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专用材料费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30224</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被装购置费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30225</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专用燃料费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1.43</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1.43</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30226</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劳务费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0.93</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0.93</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30227</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委托业务费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0.29</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0.29</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30228</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工会经费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15.53</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15.53</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30229</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福利费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3.67</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3.67</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30231</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公务用车运行维护费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44.80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44.80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30239</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其他交通费用</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71.68</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71.68</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30240</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税金及附加费用</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30299</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其他商品和服务支出</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0.04</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0.04</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b/>
                <w:bCs/>
                <w:sz w:val="20"/>
                <w:szCs w:val="20"/>
              </w:rPr>
            </w:pPr>
            <w:r>
              <w:rPr>
                <w:rFonts w:eastAsia="宋体"/>
                <w:b/>
                <w:bCs/>
                <w:sz w:val="20"/>
                <w:szCs w:val="20"/>
              </w:rPr>
              <w:t>303</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b/>
                <w:bCs/>
                <w:sz w:val="20"/>
                <w:szCs w:val="20"/>
              </w:rPr>
            </w:pPr>
            <w:r>
              <w:rPr>
                <w:rFonts w:hint="eastAsia" w:eastAsia="宋体" w:cs="宋体"/>
                <w:b/>
                <w:bCs/>
                <w:sz w:val="20"/>
                <w:szCs w:val="20"/>
              </w:rPr>
              <w:t>对个人和家庭的补助</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244.18</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244.18</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30301</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离休费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32.90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32.90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30302</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退休费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15.33</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15.33</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30303</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退职（役）费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30304</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抚恤金</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30305</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生活补助</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3.83</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3.83</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30306</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救济费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30307</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医疗费</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30308</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助学金</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30309</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奖励金</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30310</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生产补贴</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30311</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住房公积金</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148.55</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148.55</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30312</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提租补贴</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27.38</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27.38</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30313</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购房补贴</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30314</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采暖补贴</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30315</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物业服务补贴</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30399</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其他对个人和家庭的补助支出</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16.19</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16.19</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b/>
                <w:bCs/>
                <w:sz w:val="20"/>
                <w:szCs w:val="20"/>
              </w:rPr>
            </w:pPr>
            <w:r>
              <w:rPr>
                <w:rFonts w:eastAsia="宋体"/>
                <w:b/>
                <w:bCs/>
                <w:sz w:val="20"/>
                <w:szCs w:val="20"/>
              </w:rPr>
              <w:t>310</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b/>
                <w:bCs/>
                <w:sz w:val="20"/>
                <w:szCs w:val="20"/>
              </w:rPr>
            </w:pPr>
            <w:r>
              <w:rPr>
                <w:rFonts w:hint="eastAsia" w:eastAsia="宋体" w:cs="宋体"/>
                <w:b/>
                <w:bCs/>
                <w:sz w:val="20"/>
                <w:szCs w:val="20"/>
              </w:rPr>
              <w:t>其他资本性支出</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　</w:t>
            </w:r>
          </w:p>
        </w:tc>
        <w:tc>
          <w:tcPr>
            <w:tcW w:w="254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3220" w:type="dxa"/>
            <w:gridSpan w:val="2"/>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p>
        </w:tc>
        <w:tc>
          <w:tcPr>
            <w:tcW w:w="3220" w:type="dxa"/>
            <w:gridSpan w:val="3"/>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p>
        </w:tc>
        <w:tc>
          <w:tcPr>
            <w:tcW w:w="322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p>
        </w:tc>
      </w:tr>
      <w:tr>
        <w:tblPrEx>
          <w:tblLayout w:type="fixed"/>
          <w:tblCellMar>
            <w:top w:w="0" w:type="dxa"/>
            <w:left w:w="108" w:type="dxa"/>
            <w:bottom w:w="0" w:type="dxa"/>
            <w:right w:w="108" w:type="dxa"/>
          </w:tblCellMar>
        </w:tblPrEx>
        <w:trPr>
          <w:trHeight w:val="319" w:hRule="atLeast"/>
          <w:jc w:val="center"/>
        </w:trPr>
        <w:tc>
          <w:tcPr>
            <w:tcW w:w="135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2551" w:type="dxa"/>
            <w:gridSpan w:val="2"/>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3259"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r>
      <w:tr>
        <w:tblPrEx>
          <w:tblLayout w:type="fixed"/>
          <w:tblCellMar>
            <w:top w:w="0" w:type="dxa"/>
            <w:left w:w="108" w:type="dxa"/>
            <w:bottom w:w="0" w:type="dxa"/>
            <w:right w:w="108" w:type="dxa"/>
          </w:tblCellMar>
        </w:tblPrEx>
        <w:trPr>
          <w:trHeight w:val="525" w:hRule="atLeast"/>
          <w:jc w:val="center"/>
        </w:trPr>
        <w:tc>
          <w:tcPr>
            <w:tcW w:w="13541" w:type="dxa"/>
            <w:gridSpan w:val="9"/>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注：</w:t>
            </w:r>
            <w:r>
              <w:rPr>
                <w:rFonts w:eastAsia="宋体"/>
                <w:sz w:val="20"/>
                <w:szCs w:val="20"/>
              </w:rPr>
              <w:t xml:space="preserve">1. </w:t>
            </w:r>
            <w:r>
              <w:rPr>
                <w:rFonts w:hint="eastAsia" w:eastAsia="宋体" w:cs="宋体"/>
                <w:sz w:val="20"/>
                <w:szCs w:val="20"/>
              </w:rPr>
              <w:t>本表反映部门本年度按经济分类一般公共预算财政拨款基本支出明细情况。</w:t>
            </w:r>
            <w:r>
              <w:rPr>
                <w:rFonts w:eastAsia="宋体"/>
                <w:sz w:val="20"/>
                <w:szCs w:val="20"/>
              </w:rPr>
              <w:br w:type="textWrapping"/>
            </w:r>
            <w:r>
              <w:rPr>
                <w:rFonts w:eastAsia="宋体"/>
                <w:sz w:val="20"/>
                <w:szCs w:val="20"/>
              </w:rPr>
              <w:t xml:space="preserve">    </w:t>
            </w:r>
          </w:p>
        </w:tc>
      </w:tr>
    </w:tbl>
    <w:p>
      <w:pPr>
        <w:ind w:firstLine="0"/>
      </w:pPr>
    </w:p>
    <w:tbl>
      <w:tblPr>
        <w:tblStyle w:val="8"/>
        <w:tblW w:w="13660" w:type="dxa"/>
        <w:jc w:val="center"/>
        <w:tblInd w:w="0" w:type="dxa"/>
        <w:tblLayout w:type="fixed"/>
        <w:tblCellMar>
          <w:top w:w="0" w:type="dxa"/>
          <w:left w:w="108" w:type="dxa"/>
          <w:bottom w:w="0" w:type="dxa"/>
          <w:right w:w="108" w:type="dxa"/>
        </w:tblCellMar>
      </w:tblPr>
      <w:tblGrid>
        <w:gridCol w:w="1660"/>
        <w:gridCol w:w="2100"/>
        <w:gridCol w:w="1660"/>
        <w:gridCol w:w="1660"/>
        <w:gridCol w:w="1600"/>
        <w:gridCol w:w="1660"/>
        <w:gridCol w:w="1660"/>
        <w:gridCol w:w="1660"/>
      </w:tblGrid>
      <w:tr>
        <w:tblPrEx>
          <w:tblLayout w:type="fixed"/>
          <w:tblCellMar>
            <w:top w:w="0" w:type="dxa"/>
            <w:left w:w="108" w:type="dxa"/>
            <w:bottom w:w="0" w:type="dxa"/>
            <w:right w:w="108" w:type="dxa"/>
          </w:tblCellMar>
        </w:tblPrEx>
        <w:trPr>
          <w:trHeight w:val="960" w:hRule="atLeast"/>
          <w:jc w:val="center"/>
        </w:trPr>
        <w:tc>
          <w:tcPr>
            <w:tcW w:w="13660" w:type="dxa"/>
            <w:gridSpan w:val="8"/>
            <w:tcBorders>
              <w:top w:val="nil"/>
              <w:left w:val="nil"/>
              <w:bottom w:val="nil"/>
              <w:right w:val="nil"/>
            </w:tcBorders>
            <w:vAlign w:val="center"/>
          </w:tcPr>
          <w:p>
            <w:pPr>
              <w:widowControl/>
              <w:autoSpaceDE/>
              <w:autoSpaceDN/>
              <w:snapToGrid/>
              <w:spacing w:line="240" w:lineRule="auto"/>
              <w:ind w:firstLine="0"/>
              <w:jc w:val="center"/>
              <w:rPr>
                <w:rFonts w:ascii="宋体" w:hAnsi="宋体" w:eastAsia="宋体"/>
                <w:b/>
                <w:bCs/>
                <w:sz w:val="36"/>
                <w:szCs w:val="36"/>
              </w:rPr>
            </w:pPr>
            <w:bookmarkStart w:id="5" w:name="RANGE_A1_H16"/>
            <w:r>
              <w:rPr>
                <w:rFonts w:hint="eastAsia" w:ascii="宋体" w:hAnsi="宋体" w:eastAsia="宋体" w:cs="宋体"/>
                <w:b/>
                <w:bCs/>
                <w:sz w:val="36"/>
                <w:szCs w:val="36"/>
              </w:rPr>
              <w:t>一般公共预算财政拨款“三公”经费、会议费、培训费支出决算表</w:t>
            </w:r>
            <w:bookmarkEnd w:id="5"/>
          </w:p>
        </w:tc>
      </w:tr>
      <w:tr>
        <w:tblPrEx>
          <w:tblLayout w:type="fixed"/>
          <w:tblCellMar>
            <w:top w:w="0" w:type="dxa"/>
            <w:left w:w="108" w:type="dxa"/>
            <w:bottom w:w="0" w:type="dxa"/>
            <w:right w:w="108" w:type="dxa"/>
          </w:tblCellMar>
        </w:tblPrEx>
        <w:trPr>
          <w:trHeight w:val="319" w:hRule="atLeast"/>
          <w:jc w:val="center"/>
        </w:trPr>
        <w:tc>
          <w:tcPr>
            <w:tcW w:w="1660" w:type="dxa"/>
            <w:tcBorders>
              <w:top w:val="nil"/>
              <w:left w:val="nil"/>
              <w:bottom w:val="nil"/>
              <w:right w:val="nil"/>
            </w:tcBorders>
            <w:vAlign w:val="center"/>
          </w:tcPr>
          <w:p>
            <w:pPr>
              <w:widowControl/>
              <w:autoSpaceDE/>
              <w:autoSpaceDN/>
              <w:snapToGrid/>
              <w:spacing w:line="240" w:lineRule="auto"/>
              <w:ind w:firstLine="0"/>
              <w:jc w:val="center"/>
              <w:rPr>
                <w:rFonts w:eastAsia="方正小标宋_GBK"/>
                <w:sz w:val="36"/>
                <w:szCs w:val="36"/>
              </w:rPr>
            </w:pPr>
          </w:p>
        </w:tc>
        <w:tc>
          <w:tcPr>
            <w:tcW w:w="210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60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公开</w:t>
            </w:r>
            <w:r>
              <w:rPr>
                <w:rFonts w:eastAsia="宋体"/>
                <w:sz w:val="20"/>
                <w:szCs w:val="20"/>
              </w:rPr>
              <w:t>09</w:t>
            </w:r>
            <w:r>
              <w:rPr>
                <w:rFonts w:hint="eastAsia" w:eastAsia="宋体" w:cs="宋体"/>
                <w:sz w:val="20"/>
                <w:szCs w:val="20"/>
              </w:rPr>
              <w:t>表</w:t>
            </w: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部门名称：海安市人民检察院</w:t>
            </w: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60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金额单位：万元</w:t>
            </w:r>
          </w:p>
        </w:tc>
      </w:tr>
      <w:tr>
        <w:tblPrEx>
          <w:tblLayout w:type="fixed"/>
          <w:tblCellMar>
            <w:top w:w="0" w:type="dxa"/>
            <w:left w:w="108" w:type="dxa"/>
            <w:bottom w:w="0" w:type="dxa"/>
            <w:right w:w="108" w:type="dxa"/>
          </w:tblCellMar>
        </w:tblPrEx>
        <w:trPr>
          <w:trHeight w:val="319" w:hRule="atLeast"/>
          <w:jc w:val="center"/>
        </w:trPr>
        <w:tc>
          <w:tcPr>
            <w:tcW w:w="10340" w:type="dxa"/>
            <w:gridSpan w:val="6"/>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w:t>
            </w:r>
            <w:r>
              <w:rPr>
                <w:rFonts w:hint="eastAsia" w:eastAsia="宋体" w:cs="宋体"/>
                <w:sz w:val="20"/>
                <w:szCs w:val="20"/>
              </w:rPr>
              <w:t>三公</w:t>
            </w:r>
            <w:r>
              <w:rPr>
                <w:rFonts w:eastAsia="宋体"/>
                <w:sz w:val="20"/>
                <w:szCs w:val="20"/>
              </w:rPr>
              <w:t>”</w:t>
            </w:r>
            <w:r>
              <w:rPr>
                <w:rFonts w:hint="eastAsia" w:eastAsia="宋体" w:cs="宋体"/>
                <w:sz w:val="20"/>
                <w:szCs w:val="20"/>
              </w:rPr>
              <w:t>经费</w:t>
            </w:r>
          </w:p>
        </w:tc>
        <w:tc>
          <w:tcPr>
            <w:tcW w:w="166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会议费</w:t>
            </w:r>
          </w:p>
        </w:tc>
        <w:tc>
          <w:tcPr>
            <w:tcW w:w="166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培训费</w:t>
            </w:r>
          </w:p>
        </w:tc>
      </w:tr>
      <w:tr>
        <w:tblPrEx>
          <w:tblLayout w:type="fixed"/>
          <w:tblCellMar>
            <w:top w:w="0" w:type="dxa"/>
            <w:left w:w="108" w:type="dxa"/>
            <w:bottom w:w="0" w:type="dxa"/>
            <w:right w:w="108" w:type="dxa"/>
          </w:tblCellMar>
        </w:tblPrEx>
        <w:trPr>
          <w:trHeight w:val="319" w:hRule="atLeast"/>
          <w:jc w:val="center"/>
        </w:trPr>
        <w:tc>
          <w:tcPr>
            <w:tcW w:w="1660" w:type="dxa"/>
            <w:vMerge w:val="restart"/>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w:t>
            </w:r>
            <w:r>
              <w:rPr>
                <w:rFonts w:hint="eastAsia" w:eastAsia="宋体" w:cs="宋体"/>
                <w:sz w:val="20"/>
                <w:szCs w:val="20"/>
              </w:rPr>
              <w:t>三公</w:t>
            </w:r>
            <w:r>
              <w:rPr>
                <w:rFonts w:eastAsia="宋体"/>
                <w:sz w:val="20"/>
                <w:szCs w:val="20"/>
              </w:rPr>
              <w:t>”</w:t>
            </w:r>
            <w:r>
              <w:rPr>
                <w:rFonts w:hint="eastAsia" w:eastAsia="宋体" w:cs="宋体"/>
                <w:sz w:val="20"/>
                <w:szCs w:val="20"/>
              </w:rPr>
              <w:t>经费</w:t>
            </w:r>
            <w:r>
              <w:rPr>
                <w:rFonts w:eastAsia="宋体"/>
                <w:sz w:val="20"/>
                <w:szCs w:val="20"/>
              </w:rPr>
              <w:br w:type="textWrapping"/>
            </w:r>
            <w:r>
              <w:rPr>
                <w:rFonts w:hint="eastAsia" w:eastAsia="宋体" w:cs="宋体"/>
                <w:sz w:val="20"/>
                <w:szCs w:val="20"/>
              </w:rPr>
              <w:t>合计</w:t>
            </w:r>
          </w:p>
        </w:tc>
        <w:tc>
          <w:tcPr>
            <w:tcW w:w="2100" w:type="dxa"/>
            <w:vMerge w:val="restart"/>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因公出国（境）费</w:t>
            </w:r>
          </w:p>
        </w:tc>
        <w:tc>
          <w:tcPr>
            <w:tcW w:w="4920" w:type="dxa"/>
            <w:gridSpan w:val="3"/>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公务用车购置及运行维护费</w:t>
            </w:r>
          </w:p>
        </w:tc>
        <w:tc>
          <w:tcPr>
            <w:tcW w:w="1660" w:type="dxa"/>
            <w:vMerge w:val="restart"/>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公务接待费</w:t>
            </w: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r>
      <w:tr>
        <w:tblPrEx>
          <w:tblLayout w:type="fixed"/>
          <w:tblCellMar>
            <w:top w:w="0" w:type="dxa"/>
            <w:left w:w="108" w:type="dxa"/>
            <w:bottom w:w="0" w:type="dxa"/>
            <w:right w:w="108" w:type="dxa"/>
          </w:tblCellMar>
        </w:tblPrEx>
        <w:trPr>
          <w:trHeight w:val="642" w:hRule="atLeast"/>
          <w:jc w:val="center"/>
        </w:trPr>
        <w:tc>
          <w:tcPr>
            <w:tcW w:w="1660" w:type="dxa"/>
            <w:vMerge w:val="continue"/>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2100" w:type="dxa"/>
            <w:vMerge w:val="continue"/>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小计</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公务用车购置费</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公务用车运行维护费</w:t>
            </w:r>
          </w:p>
        </w:tc>
        <w:tc>
          <w:tcPr>
            <w:tcW w:w="1660" w:type="dxa"/>
            <w:vMerge w:val="continue"/>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r>
      <w:tr>
        <w:tblPrEx>
          <w:tblLayout w:type="fixed"/>
          <w:tblCellMar>
            <w:top w:w="0" w:type="dxa"/>
            <w:left w:w="108" w:type="dxa"/>
            <w:bottom w:w="0" w:type="dxa"/>
            <w:right w:w="108" w:type="dxa"/>
          </w:tblCellMar>
        </w:tblPrEx>
        <w:trPr>
          <w:trHeight w:val="319" w:hRule="atLeast"/>
          <w:jc w:val="center"/>
        </w:trPr>
        <w:tc>
          <w:tcPr>
            <w:tcW w:w="166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48.95</w:t>
            </w:r>
            <w:r>
              <w:rPr>
                <w:rFonts w:hint="eastAsia" w:eastAsia="宋体" w:cs="宋体"/>
                <w:sz w:val="20"/>
                <w:szCs w:val="20"/>
              </w:rPr>
              <w:t>　</w:t>
            </w:r>
          </w:p>
        </w:tc>
        <w:tc>
          <w:tcPr>
            <w:tcW w:w="21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r>
              <w:rPr>
                <w:rFonts w:hint="eastAsia" w:eastAsia="宋体" w:cs="宋体"/>
                <w:sz w:val="20"/>
                <w:szCs w:val="20"/>
              </w:rPr>
              <w:t>　</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44.80</w:t>
            </w:r>
            <w:r>
              <w:rPr>
                <w:rFonts w:hint="eastAsia" w:eastAsia="宋体" w:cs="宋体"/>
                <w:sz w:val="20"/>
                <w:szCs w:val="20"/>
              </w:rPr>
              <w:t>　</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r>
              <w:rPr>
                <w:rFonts w:hint="eastAsia" w:eastAsia="宋体" w:cs="宋体"/>
                <w:sz w:val="20"/>
                <w:szCs w:val="20"/>
              </w:rPr>
              <w:t>　</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44.80</w:t>
            </w:r>
            <w:r>
              <w:rPr>
                <w:rFonts w:hint="eastAsia" w:eastAsia="宋体" w:cs="宋体"/>
                <w:sz w:val="20"/>
                <w:szCs w:val="20"/>
              </w:rPr>
              <w:t>　</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4.15</w:t>
            </w:r>
            <w:r>
              <w:rPr>
                <w:rFonts w:hint="eastAsia" w:eastAsia="宋体" w:cs="宋体"/>
                <w:sz w:val="20"/>
                <w:szCs w:val="20"/>
              </w:rPr>
              <w:t>　</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0.97</w:t>
            </w:r>
            <w:r>
              <w:rPr>
                <w:rFonts w:hint="eastAsia" w:eastAsia="宋体" w:cs="宋体"/>
                <w:sz w:val="20"/>
                <w:szCs w:val="20"/>
              </w:rPr>
              <w:t>　</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7.97</w:t>
            </w: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10340" w:type="dxa"/>
            <w:gridSpan w:val="6"/>
            <w:tcBorders>
              <w:top w:val="single" w:color="auto" w:sz="4" w:space="0"/>
              <w:left w:val="nil"/>
              <w:bottom w:val="single" w:color="auto" w:sz="4" w:space="0"/>
              <w:right w:val="nil"/>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相关统计数：</w:t>
            </w: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项目</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统计数</w:t>
            </w:r>
          </w:p>
        </w:tc>
        <w:tc>
          <w:tcPr>
            <w:tcW w:w="3260" w:type="dxa"/>
            <w:gridSpan w:val="2"/>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项目</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统计数</w:t>
            </w:r>
          </w:p>
        </w:tc>
        <w:tc>
          <w:tcPr>
            <w:tcW w:w="1660" w:type="dxa"/>
            <w:tcBorders>
              <w:top w:val="nil"/>
              <w:left w:val="nil"/>
              <w:bottom w:val="nil"/>
              <w:right w:val="nil"/>
            </w:tcBorders>
            <w:vAlign w:val="center"/>
          </w:tcPr>
          <w:p>
            <w:pPr>
              <w:widowControl/>
              <w:autoSpaceDE/>
              <w:autoSpaceDN/>
              <w:snapToGrid/>
              <w:spacing w:line="240" w:lineRule="auto"/>
              <w:ind w:firstLine="0"/>
              <w:jc w:val="center"/>
              <w:rPr>
                <w:rFonts w:eastAsia="宋体"/>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因公出国（境）团组数</w:t>
            </w:r>
            <w:r>
              <w:rPr>
                <w:rFonts w:eastAsia="宋体"/>
                <w:sz w:val="20"/>
                <w:szCs w:val="20"/>
              </w:rPr>
              <w:t>(</w:t>
            </w:r>
            <w:r>
              <w:rPr>
                <w:rFonts w:hint="eastAsia" w:eastAsia="宋体" w:cs="宋体"/>
                <w:sz w:val="20"/>
                <w:szCs w:val="20"/>
              </w:rPr>
              <w:t>个</w:t>
            </w:r>
            <w:r>
              <w:rPr>
                <w:rFonts w:eastAsia="宋体"/>
                <w:sz w:val="20"/>
                <w:szCs w:val="20"/>
              </w:rPr>
              <w:t>)</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w:t>
            </w:r>
          </w:p>
        </w:tc>
        <w:tc>
          <w:tcPr>
            <w:tcW w:w="3260" w:type="dxa"/>
            <w:gridSpan w:val="2"/>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因公出国（境）人次数</w:t>
            </w:r>
            <w:r>
              <w:rPr>
                <w:rFonts w:eastAsia="宋体"/>
                <w:sz w:val="20"/>
                <w:szCs w:val="20"/>
              </w:rPr>
              <w:t>(</w:t>
            </w:r>
            <w:r>
              <w:rPr>
                <w:rFonts w:hint="eastAsia" w:eastAsia="宋体" w:cs="宋体"/>
                <w:sz w:val="20"/>
                <w:szCs w:val="20"/>
              </w:rPr>
              <w:t>人</w:t>
            </w:r>
            <w:r>
              <w:rPr>
                <w:rFonts w:eastAsia="宋体"/>
                <w:sz w:val="20"/>
                <w:szCs w:val="20"/>
              </w:rPr>
              <w:t>)</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w:t>
            </w: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公务用车购置数</w:t>
            </w:r>
            <w:r>
              <w:rPr>
                <w:rFonts w:eastAsia="宋体"/>
                <w:sz w:val="20"/>
                <w:szCs w:val="20"/>
              </w:rPr>
              <w:t>(</w:t>
            </w:r>
            <w:r>
              <w:rPr>
                <w:rFonts w:hint="eastAsia" w:eastAsia="宋体" w:cs="宋体"/>
                <w:sz w:val="20"/>
                <w:szCs w:val="20"/>
              </w:rPr>
              <w:t>辆</w:t>
            </w:r>
            <w:r>
              <w:rPr>
                <w:rFonts w:eastAsia="宋体"/>
                <w:sz w:val="20"/>
                <w:szCs w:val="20"/>
              </w:rPr>
              <w:t>)</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w:t>
            </w:r>
          </w:p>
        </w:tc>
        <w:tc>
          <w:tcPr>
            <w:tcW w:w="3260" w:type="dxa"/>
            <w:gridSpan w:val="2"/>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公务用车保有量</w:t>
            </w:r>
            <w:r>
              <w:rPr>
                <w:rFonts w:eastAsia="宋体"/>
                <w:sz w:val="20"/>
                <w:szCs w:val="20"/>
              </w:rPr>
              <w:t>(</w:t>
            </w:r>
            <w:r>
              <w:rPr>
                <w:rFonts w:hint="eastAsia" w:eastAsia="宋体" w:cs="宋体"/>
                <w:sz w:val="20"/>
                <w:szCs w:val="20"/>
              </w:rPr>
              <w:t>辆</w:t>
            </w:r>
            <w:r>
              <w:rPr>
                <w:rFonts w:eastAsia="宋体"/>
                <w:sz w:val="20"/>
                <w:szCs w:val="20"/>
              </w:rPr>
              <w:t>)</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17</w:t>
            </w: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国内公务接待批次</w:t>
            </w:r>
            <w:r>
              <w:rPr>
                <w:rFonts w:eastAsia="宋体"/>
                <w:sz w:val="20"/>
                <w:szCs w:val="20"/>
              </w:rPr>
              <w:t>(</w:t>
            </w:r>
            <w:r>
              <w:rPr>
                <w:rFonts w:hint="eastAsia" w:eastAsia="宋体" w:cs="宋体"/>
                <w:sz w:val="20"/>
                <w:szCs w:val="20"/>
              </w:rPr>
              <w:t>个</w:t>
            </w:r>
            <w:r>
              <w:rPr>
                <w:rFonts w:eastAsia="宋体"/>
                <w:sz w:val="20"/>
                <w:szCs w:val="20"/>
              </w:rPr>
              <w:t>)</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86</w:t>
            </w:r>
          </w:p>
        </w:tc>
        <w:tc>
          <w:tcPr>
            <w:tcW w:w="3260" w:type="dxa"/>
            <w:gridSpan w:val="2"/>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国内公务接待人次</w:t>
            </w:r>
            <w:r>
              <w:rPr>
                <w:rFonts w:eastAsia="宋体"/>
                <w:sz w:val="20"/>
                <w:szCs w:val="20"/>
              </w:rPr>
              <w:t>(</w:t>
            </w:r>
            <w:r>
              <w:rPr>
                <w:rFonts w:hint="eastAsia" w:eastAsia="宋体" w:cs="宋体"/>
                <w:sz w:val="20"/>
                <w:szCs w:val="20"/>
              </w:rPr>
              <w:t>人</w:t>
            </w:r>
            <w:r>
              <w:rPr>
                <w:rFonts w:eastAsia="宋体"/>
                <w:sz w:val="20"/>
                <w:szCs w:val="20"/>
              </w:rPr>
              <w:t>)</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705</w:t>
            </w: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国（境）外公务接待批次</w:t>
            </w:r>
            <w:r>
              <w:rPr>
                <w:rFonts w:eastAsia="宋体"/>
                <w:sz w:val="20"/>
                <w:szCs w:val="20"/>
              </w:rPr>
              <w:t>(</w:t>
            </w:r>
            <w:r>
              <w:rPr>
                <w:rFonts w:hint="eastAsia" w:eastAsia="宋体" w:cs="宋体"/>
                <w:sz w:val="20"/>
                <w:szCs w:val="20"/>
              </w:rPr>
              <w:t>个</w:t>
            </w:r>
            <w:r>
              <w:rPr>
                <w:rFonts w:eastAsia="宋体"/>
                <w:sz w:val="20"/>
                <w:szCs w:val="20"/>
              </w:rPr>
              <w:t>)</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w:t>
            </w:r>
          </w:p>
        </w:tc>
        <w:tc>
          <w:tcPr>
            <w:tcW w:w="3260" w:type="dxa"/>
            <w:gridSpan w:val="2"/>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国（境）外公务接待人次</w:t>
            </w:r>
            <w:r>
              <w:rPr>
                <w:rFonts w:eastAsia="宋体"/>
                <w:sz w:val="20"/>
                <w:szCs w:val="20"/>
              </w:rPr>
              <w:t>(</w:t>
            </w:r>
            <w:r>
              <w:rPr>
                <w:rFonts w:hint="eastAsia" w:eastAsia="宋体" w:cs="宋体"/>
                <w:sz w:val="20"/>
                <w:szCs w:val="20"/>
              </w:rPr>
              <w:t>人</w:t>
            </w:r>
            <w:r>
              <w:rPr>
                <w:rFonts w:eastAsia="宋体"/>
                <w:sz w:val="20"/>
                <w:szCs w:val="20"/>
              </w:rPr>
              <w:t>)</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w:t>
            </w: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召开会议次数</w:t>
            </w:r>
            <w:r>
              <w:rPr>
                <w:rFonts w:eastAsia="宋体"/>
                <w:sz w:val="20"/>
                <w:szCs w:val="20"/>
              </w:rPr>
              <w:t>(</w:t>
            </w:r>
            <w:r>
              <w:rPr>
                <w:rFonts w:hint="eastAsia" w:eastAsia="宋体" w:cs="宋体"/>
                <w:sz w:val="20"/>
                <w:szCs w:val="20"/>
              </w:rPr>
              <w:t>个</w:t>
            </w:r>
            <w:r>
              <w:rPr>
                <w:rFonts w:eastAsia="宋体"/>
                <w:sz w:val="20"/>
                <w:szCs w:val="20"/>
              </w:rPr>
              <w:t>)</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12</w:t>
            </w:r>
          </w:p>
        </w:tc>
        <w:tc>
          <w:tcPr>
            <w:tcW w:w="3260" w:type="dxa"/>
            <w:gridSpan w:val="2"/>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参加会议人次</w:t>
            </w:r>
            <w:r>
              <w:rPr>
                <w:rFonts w:eastAsia="宋体"/>
                <w:sz w:val="20"/>
                <w:szCs w:val="20"/>
              </w:rPr>
              <w:t>(</w:t>
            </w:r>
            <w:r>
              <w:rPr>
                <w:rFonts w:hint="eastAsia" w:eastAsia="宋体" w:cs="宋体"/>
                <w:sz w:val="20"/>
                <w:szCs w:val="20"/>
              </w:rPr>
              <w:t>人</w:t>
            </w:r>
            <w:r>
              <w:rPr>
                <w:rFonts w:eastAsia="宋体"/>
                <w:sz w:val="20"/>
                <w:szCs w:val="20"/>
              </w:rPr>
              <w:t>)</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216</w:t>
            </w: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r>
      <w:tr>
        <w:tblPrEx>
          <w:tblLayout w:type="fixed"/>
          <w:tblCellMar>
            <w:top w:w="0" w:type="dxa"/>
            <w:left w:w="108" w:type="dxa"/>
            <w:bottom w:w="0" w:type="dxa"/>
            <w:right w:w="108" w:type="dxa"/>
          </w:tblCellMar>
        </w:tblPrEx>
        <w:trPr>
          <w:trHeight w:val="240" w:hRule="atLeast"/>
          <w:jc w:val="center"/>
        </w:trPr>
        <w:tc>
          <w:tcPr>
            <w:tcW w:w="3760"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组织培训次数</w:t>
            </w:r>
            <w:r>
              <w:rPr>
                <w:rFonts w:eastAsia="宋体"/>
                <w:sz w:val="20"/>
                <w:szCs w:val="20"/>
              </w:rPr>
              <w:t>(</w:t>
            </w:r>
            <w:r>
              <w:rPr>
                <w:rFonts w:hint="eastAsia" w:eastAsia="宋体" w:cs="宋体"/>
                <w:sz w:val="20"/>
                <w:szCs w:val="20"/>
              </w:rPr>
              <w:t>个</w:t>
            </w:r>
            <w:r>
              <w:rPr>
                <w:rFonts w:eastAsia="宋体"/>
                <w:sz w:val="20"/>
                <w:szCs w:val="20"/>
              </w:rPr>
              <w:t>)</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19</w:t>
            </w:r>
          </w:p>
        </w:tc>
        <w:tc>
          <w:tcPr>
            <w:tcW w:w="3260" w:type="dxa"/>
            <w:gridSpan w:val="2"/>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参加培训人次</w:t>
            </w:r>
            <w:r>
              <w:rPr>
                <w:rFonts w:eastAsia="宋体"/>
                <w:sz w:val="20"/>
                <w:szCs w:val="20"/>
              </w:rPr>
              <w:t>(</w:t>
            </w:r>
            <w:r>
              <w:rPr>
                <w:rFonts w:hint="eastAsia" w:eastAsia="宋体" w:cs="宋体"/>
                <w:sz w:val="20"/>
                <w:szCs w:val="20"/>
              </w:rPr>
              <w:t>人</w:t>
            </w:r>
            <w:r>
              <w:rPr>
                <w:rFonts w:eastAsia="宋体"/>
                <w:sz w:val="20"/>
                <w:szCs w:val="20"/>
              </w:rPr>
              <w:t>)</w:t>
            </w:r>
          </w:p>
        </w:tc>
        <w:tc>
          <w:tcPr>
            <w:tcW w:w="166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215</w:t>
            </w: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r>
      <w:tr>
        <w:tblPrEx>
          <w:tblLayout w:type="fixed"/>
          <w:tblCellMar>
            <w:top w:w="0" w:type="dxa"/>
            <w:left w:w="108" w:type="dxa"/>
            <w:bottom w:w="0" w:type="dxa"/>
            <w:right w:w="108" w:type="dxa"/>
          </w:tblCellMar>
        </w:tblPrEx>
        <w:trPr>
          <w:trHeight w:val="420" w:hRule="atLeast"/>
          <w:jc w:val="center"/>
        </w:trPr>
        <w:tc>
          <w:tcPr>
            <w:tcW w:w="10340" w:type="dxa"/>
            <w:gridSpan w:val="6"/>
            <w:tcBorders>
              <w:top w:val="single" w:color="auto" w:sz="4" w:space="0"/>
              <w:left w:val="nil"/>
              <w:bottom w:val="nil"/>
              <w:right w:val="nil"/>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注：</w:t>
            </w:r>
            <w:r>
              <w:rPr>
                <w:rFonts w:eastAsia="宋体"/>
                <w:sz w:val="20"/>
                <w:szCs w:val="20"/>
              </w:rPr>
              <w:t>“</w:t>
            </w:r>
            <w:r>
              <w:rPr>
                <w:rFonts w:hint="eastAsia" w:eastAsia="宋体" w:cs="宋体"/>
                <w:sz w:val="20"/>
                <w:szCs w:val="20"/>
              </w:rPr>
              <w:t>三公</w:t>
            </w:r>
            <w:r>
              <w:rPr>
                <w:rFonts w:eastAsia="宋体"/>
                <w:sz w:val="20"/>
                <w:szCs w:val="20"/>
              </w:rPr>
              <w:t>”</w:t>
            </w:r>
            <w:r>
              <w:rPr>
                <w:rFonts w:hint="eastAsia" w:eastAsia="宋体" w:cs="宋体"/>
                <w:sz w:val="20"/>
                <w:szCs w:val="20"/>
              </w:rPr>
              <w:t>经费、会议费、培训费详细支出情况见支出情况说明。</w:t>
            </w: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p>
        </w:tc>
        <w:tc>
          <w:tcPr>
            <w:tcW w:w="166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r>
    </w:tbl>
    <w:p>
      <w:pPr>
        <w:ind w:firstLine="0"/>
      </w:pPr>
    </w:p>
    <w:tbl>
      <w:tblPr>
        <w:tblStyle w:val="8"/>
        <w:tblW w:w="12900" w:type="dxa"/>
        <w:jc w:val="center"/>
        <w:tblInd w:w="0" w:type="dxa"/>
        <w:tblLayout w:type="fixed"/>
        <w:tblCellMar>
          <w:top w:w="0" w:type="dxa"/>
          <w:left w:w="108" w:type="dxa"/>
          <w:bottom w:w="0" w:type="dxa"/>
          <w:right w:w="108" w:type="dxa"/>
        </w:tblCellMar>
      </w:tblPr>
      <w:tblGrid>
        <w:gridCol w:w="1180"/>
        <w:gridCol w:w="1600"/>
        <w:gridCol w:w="1780"/>
        <w:gridCol w:w="1780"/>
        <w:gridCol w:w="1540"/>
        <w:gridCol w:w="1600"/>
        <w:gridCol w:w="1520"/>
        <w:gridCol w:w="1900"/>
      </w:tblGrid>
      <w:tr>
        <w:tblPrEx>
          <w:tblLayout w:type="fixed"/>
          <w:tblCellMar>
            <w:top w:w="0" w:type="dxa"/>
            <w:left w:w="108" w:type="dxa"/>
            <w:bottom w:w="0" w:type="dxa"/>
            <w:right w:w="108" w:type="dxa"/>
          </w:tblCellMar>
        </w:tblPrEx>
        <w:trPr>
          <w:trHeight w:val="960" w:hRule="atLeast"/>
          <w:jc w:val="center"/>
        </w:trPr>
        <w:tc>
          <w:tcPr>
            <w:tcW w:w="12900" w:type="dxa"/>
            <w:gridSpan w:val="8"/>
            <w:tcBorders>
              <w:top w:val="nil"/>
              <w:left w:val="nil"/>
              <w:bottom w:val="nil"/>
              <w:right w:val="nil"/>
            </w:tcBorders>
            <w:vAlign w:val="center"/>
          </w:tcPr>
          <w:p>
            <w:pPr>
              <w:widowControl/>
              <w:autoSpaceDE/>
              <w:autoSpaceDN/>
              <w:snapToGrid/>
              <w:spacing w:line="240" w:lineRule="auto"/>
              <w:ind w:firstLine="0"/>
              <w:jc w:val="center"/>
              <w:rPr>
                <w:rFonts w:ascii="宋体" w:hAnsi="宋体" w:eastAsia="宋体"/>
                <w:b/>
                <w:bCs/>
                <w:sz w:val="36"/>
                <w:szCs w:val="36"/>
              </w:rPr>
            </w:pPr>
            <w:bookmarkStart w:id="6" w:name="RANGE_A1_H14"/>
            <w:r>
              <w:rPr>
                <w:rFonts w:hint="eastAsia" w:ascii="宋体" w:hAnsi="宋体" w:eastAsia="宋体" w:cs="宋体"/>
                <w:b/>
                <w:bCs/>
                <w:sz w:val="36"/>
                <w:szCs w:val="36"/>
              </w:rPr>
              <w:t>政府性基金预算财政拨款收入支出决算表</w:t>
            </w:r>
            <w:bookmarkEnd w:id="6"/>
          </w:p>
        </w:tc>
      </w:tr>
      <w:tr>
        <w:tblPrEx>
          <w:tblLayout w:type="fixed"/>
          <w:tblCellMar>
            <w:top w:w="0" w:type="dxa"/>
            <w:left w:w="108" w:type="dxa"/>
            <w:bottom w:w="0" w:type="dxa"/>
            <w:right w:w="108" w:type="dxa"/>
          </w:tblCellMar>
        </w:tblPrEx>
        <w:trPr>
          <w:trHeight w:val="319" w:hRule="atLeast"/>
          <w:jc w:val="center"/>
        </w:trPr>
        <w:tc>
          <w:tcPr>
            <w:tcW w:w="1180" w:type="dxa"/>
            <w:tcBorders>
              <w:top w:val="nil"/>
              <w:left w:val="nil"/>
              <w:bottom w:val="nil"/>
              <w:right w:val="nil"/>
            </w:tcBorders>
            <w:vAlign w:val="center"/>
          </w:tcPr>
          <w:p>
            <w:pPr>
              <w:widowControl/>
              <w:autoSpaceDE/>
              <w:autoSpaceDN/>
              <w:snapToGrid/>
              <w:spacing w:line="240" w:lineRule="auto"/>
              <w:ind w:firstLine="0"/>
              <w:jc w:val="center"/>
              <w:rPr>
                <w:rFonts w:eastAsia="方正小标宋_GBK"/>
                <w:sz w:val="40"/>
                <w:szCs w:val="40"/>
              </w:rPr>
            </w:pPr>
          </w:p>
        </w:tc>
        <w:tc>
          <w:tcPr>
            <w:tcW w:w="1600" w:type="dxa"/>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1780" w:type="dxa"/>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1780" w:type="dxa"/>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1540" w:type="dxa"/>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1600" w:type="dxa"/>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1520" w:type="dxa"/>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1900" w:type="dxa"/>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公开</w:t>
            </w:r>
            <w:r>
              <w:rPr>
                <w:rFonts w:eastAsia="宋体"/>
                <w:sz w:val="20"/>
                <w:szCs w:val="20"/>
              </w:rPr>
              <w:t>10</w:t>
            </w:r>
            <w:r>
              <w:rPr>
                <w:rFonts w:hint="eastAsia" w:eastAsia="宋体" w:cs="宋体"/>
                <w:sz w:val="20"/>
                <w:szCs w:val="20"/>
              </w:rPr>
              <w:t>表</w:t>
            </w:r>
          </w:p>
        </w:tc>
      </w:tr>
      <w:tr>
        <w:tblPrEx>
          <w:tblLayout w:type="fixed"/>
          <w:tblCellMar>
            <w:top w:w="0" w:type="dxa"/>
            <w:left w:w="108" w:type="dxa"/>
            <w:bottom w:w="0" w:type="dxa"/>
            <w:right w:w="108" w:type="dxa"/>
          </w:tblCellMar>
        </w:tblPrEx>
        <w:trPr>
          <w:trHeight w:val="319" w:hRule="atLeast"/>
          <w:jc w:val="center"/>
        </w:trPr>
        <w:tc>
          <w:tcPr>
            <w:tcW w:w="2780" w:type="dxa"/>
            <w:gridSpan w:val="2"/>
            <w:tcBorders>
              <w:top w:val="nil"/>
              <w:left w:val="nil"/>
              <w:bottom w:val="single" w:color="auto" w:sz="4" w:space="0"/>
              <w:right w:val="nil"/>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部门名称：海安市人民检察院</w:t>
            </w:r>
          </w:p>
        </w:tc>
        <w:tc>
          <w:tcPr>
            <w:tcW w:w="1780" w:type="dxa"/>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p>
        </w:tc>
        <w:tc>
          <w:tcPr>
            <w:tcW w:w="178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54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60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520"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1900" w:type="dxa"/>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金额单位：万元</w:t>
            </w:r>
          </w:p>
        </w:tc>
      </w:tr>
      <w:tr>
        <w:tblPrEx>
          <w:tblLayout w:type="fixed"/>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项</w:t>
            </w:r>
            <w:r>
              <w:rPr>
                <w:rFonts w:eastAsia="宋体"/>
                <w:sz w:val="20"/>
                <w:szCs w:val="20"/>
              </w:rPr>
              <w:t xml:space="preserve">    </w:t>
            </w:r>
            <w:r>
              <w:rPr>
                <w:rFonts w:hint="eastAsia" w:eastAsia="宋体" w:cs="宋体"/>
                <w:sz w:val="20"/>
                <w:szCs w:val="20"/>
              </w:rPr>
              <w:t>目</w:t>
            </w:r>
          </w:p>
        </w:tc>
        <w:tc>
          <w:tcPr>
            <w:tcW w:w="1780" w:type="dxa"/>
            <w:vMerge w:val="restart"/>
            <w:tcBorders>
              <w:top w:val="single" w:color="auto" w:sz="4" w:space="0"/>
              <w:left w:val="single" w:color="auto" w:sz="4" w:space="0"/>
              <w:bottom w:val="single" w:color="000000"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年初结转和结余</w:t>
            </w:r>
          </w:p>
        </w:tc>
        <w:tc>
          <w:tcPr>
            <w:tcW w:w="1780" w:type="dxa"/>
            <w:vMerge w:val="restart"/>
            <w:tcBorders>
              <w:top w:val="single" w:color="auto" w:sz="4" w:space="0"/>
              <w:left w:val="single" w:color="auto" w:sz="4" w:space="0"/>
              <w:bottom w:val="single" w:color="000000"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本年收入</w:t>
            </w:r>
          </w:p>
        </w:tc>
        <w:tc>
          <w:tcPr>
            <w:tcW w:w="4660" w:type="dxa"/>
            <w:gridSpan w:val="3"/>
            <w:tcBorders>
              <w:top w:val="single" w:color="auto" w:sz="4" w:space="0"/>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本年支出</w:t>
            </w:r>
          </w:p>
        </w:tc>
        <w:tc>
          <w:tcPr>
            <w:tcW w:w="190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年末结转和结余</w:t>
            </w:r>
          </w:p>
        </w:tc>
      </w:tr>
      <w:tr>
        <w:tblPrEx>
          <w:tblLayout w:type="fixed"/>
          <w:tblCellMar>
            <w:top w:w="0" w:type="dxa"/>
            <w:left w:w="108" w:type="dxa"/>
            <w:bottom w:w="0" w:type="dxa"/>
            <w:right w:w="108" w:type="dxa"/>
          </w:tblCellMar>
        </w:tblPrEx>
        <w:trPr>
          <w:trHeight w:val="642" w:hRule="atLeast"/>
          <w:jc w:val="center"/>
        </w:trPr>
        <w:tc>
          <w:tcPr>
            <w:tcW w:w="118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功能分类科目编码</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科目名称</w:t>
            </w:r>
          </w:p>
        </w:tc>
        <w:tc>
          <w:tcPr>
            <w:tcW w:w="1780" w:type="dxa"/>
            <w:vMerge w:val="continue"/>
            <w:tcBorders>
              <w:top w:val="single" w:color="auto" w:sz="4" w:space="0"/>
              <w:left w:val="single" w:color="auto" w:sz="4" w:space="0"/>
              <w:bottom w:val="single" w:color="000000"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1780" w:type="dxa"/>
            <w:vMerge w:val="continue"/>
            <w:tcBorders>
              <w:top w:val="single" w:color="auto" w:sz="4" w:space="0"/>
              <w:left w:val="single" w:color="auto" w:sz="4" w:space="0"/>
              <w:bottom w:val="single" w:color="000000"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154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小计</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基本支出</w:t>
            </w:r>
            <w:r>
              <w:rPr>
                <w:rFonts w:eastAsia="宋体"/>
                <w:sz w:val="20"/>
                <w:szCs w:val="20"/>
              </w:rPr>
              <w:t xml:space="preserve">  </w:t>
            </w:r>
          </w:p>
        </w:tc>
        <w:tc>
          <w:tcPr>
            <w:tcW w:w="152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项目支出</w:t>
            </w: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r>
      <w:tr>
        <w:tblPrEx>
          <w:tblLayout w:type="fixed"/>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栏次</w:t>
            </w:r>
          </w:p>
        </w:tc>
        <w:tc>
          <w:tcPr>
            <w:tcW w:w="17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　</w:t>
            </w:r>
          </w:p>
        </w:tc>
        <w:tc>
          <w:tcPr>
            <w:tcW w:w="17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　</w:t>
            </w:r>
          </w:p>
        </w:tc>
        <w:tc>
          <w:tcPr>
            <w:tcW w:w="154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w:t>
            </w:r>
          </w:p>
        </w:tc>
        <w:tc>
          <w:tcPr>
            <w:tcW w:w="152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w:t>
            </w:r>
          </w:p>
        </w:tc>
        <w:tc>
          <w:tcPr>
            <w:tcW w:w="19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合计</w:t>
            </w:r>
          </w:p>
        </w:tc>
        <w:tc>
          <w:tcPr>
            <w:tcW w:w="17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　</w:t>
            </w:r>
            <w:r>
              <w:rPr>
                <w:rFonts w:eastAsia="宋体"/>
                <w:sz w:val="20"/>
                <w:szCs w:val="20"/>
              </w:rPr>
              <w:t>0.00</w:t>
            </w:r>
          </w:p>
        </w:tc>
        <w:tc>
          <w:tcPr>
            <w:tcW w:w="17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54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　</w:t>
            </w:r>
            <w:r>
              <w:rPr>
                <w:rFonts w:eastAsia="宋体"/>
                <w:sz w:val="20"/>
                <w:szCs w:val="20"/>
              </w:rPr>
              <w:t>0.00</w:t>
            </w:r>
          </w:p>
        </w:tc>
        <w:tc>
          <w:tcPr>
            <w:tcW w:w="152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r>
              <w:rPr>
                <w:rFonts w:hint="eastAsia" w:eastAsia="宋体" w:cs="宋体"/>
                <w:sz w:val="20"/>
                <w:szCs w:val="20"/>
              </w:rPr>
              <w:t>　</w:t>
            </w:r>
          </w:p>
        </w:tc>
        <w:tc>
          <w:tcPr>
            <w:tcW w:w="19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　</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7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7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54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52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9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　</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7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7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54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52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9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　</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7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7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54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52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9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　</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7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7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54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52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9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　</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7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7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54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52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9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　</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7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78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54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6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52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c>
          <w:tcPr>
            <w:tcW w:w="1900"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　</w:t>
            </w:r>
          </w:p>
        </w:tc>
      </w:tr>
      <w:tr>
        <w:tblPrEx>
          <w:tblLayout w:type="fixed"/>
          <w:tblCellMar>
            <w:top w:w="0" w:type="dxa"/>
            <w:left w:w="108" w:type="dxa"/>
            <w:bottom w:w="0" w:type="dxa"/>
            <w:right w:w="108" w:type="dxa"/>
          </w:tblCellMar>
        </w:tblPrEx>
        <w:trPr>
          <w:trHeight w:val="540" w:hRule="atLeast"/>
          <w:jc w:val="center"/>
        </w:trPr>
        <w:tc>
          <w:tcPr>
            <w:tcW w:w="11000" w:type="dxa"/>
            <w:gridSpan w:val="7"/>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注：</w:t>
            </w:r>
            <w:r>
              <w:rPr>
                <w:rFonts w:eastAsia="宋体"/>
                <w:sz w:val="20"/>
                <w:szCs w:val="20"/>
              </w:rPr>
              <w:t xml:space="preserve">1. </w:t>
            </w:r>
            <w:r>
              <w:rPr>
                <w:rFonts w:hint="eastAsia" w:eastAsia="宋体" w:cs="宋体"/>
                <w:sz w:val="20"/>
                <w:szCs w:val="20"/>
              </w:rPr>
              <w:t>本表反映部门本年度按功能分类政府性基金预算财政拨款收支及结转和结余情况。</w:t>
            </w:r>
            <w:r>
              <w:rPr>
                <w:rFonts w:eastAsia="宋体"/>
                <w:sz w:val="20"/>
                <w:szCs w:val="20"/>
              </w:rPr>
              <w:br w:type="textWrapping"/>
            </w:r>
            <w:r>
              <w:rPr>
                <w:rFonts w:eastAsia="宋体"/>
                <w:sz w:val="20"/>
                <w:szCs w:val="20"/>
              </w:rPr>
              <w:t xml:space="preserve">    </w:t>
            </w:r>
          </w:p>
        </w:tc>
        <w:tc>
          <w:tcPr>
            <w:tcW w:w="1900" w:type="dxa"/>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p>
        </w:tc>
      </w:tr>
    </w:tbl>
    <w:p>
      <w:pPr>
        <w:ind w:firstLine="0"/>
      </w:pPr>
    </w:p>
    <w:p>
      <w:pPr>
        <w:ind w:firstLine="0"/>
        <w:rPr>
          <w:b/>
          <w:bCs/>
        </w:rPr>
      </w:pPr>
      <w:r>
        <w:t xml:space="preserve">                         </w:t>
      </w:r>
      <w:r>
        <w:rPr>
          <w:b/>
          <w:bCs/>
        </w:rPr>
        <w:t xml:space="preserve"> </w:t>
      </w:r>
      <w:r>
        <w:rPr>
          <w:rFonts w:hint="eastAsia" w:cs="方正仿宋_GBK"/>
          <w:b/>
          <w:bCs/>
        </w:rPr>
        <w:t>注：</w:t>
      </w:r>
      <w:r>
        <w:rPr>
          <w:b/>
          <w:bCs/>
        </w:rPr>
        <w:t xml:space="preserve"> </w:t>
      </w:r>
      <w:r>
        <w:rPr>
          <w:rFonts w:hint="eastAsia" w:cs="方正仿宋_GBK"/>
          <w:b/>
          <w:bCs/>
        </w:rPr>
        <w:t>本部门无政府性基金收支，本表为空表。</w:t>
      </w:r>
    </w:p>
    <w:p>
      <w:pPr>
        <w:ind w:firstLine="0"/>
      </w:pPr>
    </w:p>
    <w:tbl>
      <w:tblPr>
        <w:tblStyle w:val="8"/>
        <w:tblW w:w="12724" w:type="dxa"/>
        <w:jc w:val="center"/>
        <w:tblInd w:w="0" w:type="dxa"/>
        <w:tblLayout w:type="fixed"/>
        <w:tblCellMar>
          <w:top w:w="0" w:type="dxa"/>
          <w:left w:w="108" w:type="dxa"/>
          <w:bottom w:w="0" w:type="dxa"/>
          <w:right w:w="108" w:type="dxa"/>
        </w:tblCellMar>
      </w:tblPr>
      <w:tblGrid>
        <w:gridCol w:w="2554"/>
        <w:gridCol w:w="4153"/>
        <w:gridCol w:w="6017"/>
      </w:tblGrid>
      <w:tr>
        <w:tblPrEx>
          <w:tblLayout w:type="fixed"/>
          <w:tblCellMar>
            <w:top w:w="0" w:type="dxa"/>
            <w:left w:w="108" w:type="dxa"/>
            <w:bottom w:w="0" w:type="dxa"/>
            <w:right w:w="108" w:type="dxa"/>
          </w:tblCellMar>
        </w:tblPrEx>
        <w:trPr>
          <w:trHeight w:val="960" w:hRule="atLeast"/>
          <w:jc w:val="center"/>
        </w:trPr>
        <w:tc>
          <w:tcPr>
            <w:tcW w:w="12724" w:type="dxa"/>
            <w:gridSpan w:val="3"/>
            <w:tcBorders>
              <w:top w:val="nil"/>
              <w:left w:val="nil"/>
              <w:bottom w:val="nil"/>
              <w:right w:val="nil"/>
            </w:tcBorders>
            <w:vAlign w:val="center"/>
          </w:tcPr>
          <w:p>
            <w:pPr>
              <w:widowControl/>
              <w:autoSpaceDE/>
              <w:autoSpaceDN/>
              <w:snapToGrid/>
              <w:spacing w:line="240" w:lineRule="auto"/>
              <w:ind w:firstLine="0"/>
              <w:jc w:val="center"/>
              <w:rPr>
                <w:rFonts w:eastAsia="方正小标宋_GBK"/>
                <w:sz w:val="36"/>
                <w:szCs w:val="36"/>
              </w:rPr>
            </w:pPr>
            <w:bookmarkStart w:id="7" w:name="RANGE_A1_C16"/>
            <w:r>
              <w:rPr>
                <w:rFonts w:hint="eastAsia" w:ascii="宋体" w:hAnsi="宋体" w:eastAsia="宋体" w:cs="宋体"/>
                <w:b/>
                <w:bCs/>
                <w:sz w:val="36"/>
                <w:szCs w:val="36"/>
              </w:rPr>
              <w:t>机关运行经费支出决算表</w:t>
            </w:r>
            <w:bookmarkEnd w:id="7"/>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nil"/>
              <w:bottom w:val="nil"/>
              <w:right w:val="nil"/>
            </w:tcBorders>
            <w:vAlign w:val="center"/>
          </w:tcPr>
          <w:p>
            <w:pPr>
              <w:widowControl/>
              <w:autoSpaceDE/>
              <w:autoSpaceDN/>
              <w:snapToGrid/>
              <w:spacing w:line="240" w:lineRule="auto"/>
              <w:ind w:firstLine="0"/>
              <w:jc w:val="center"/>
              <w:rPr>
                <w:rFonts w:eastAsia="方正小标宋_GBK"/>
                <w:sz w:val="36"/>
                <w:szCs w:val="36"/>
              </w:rPr>
            </w:pPr>
          </w:p>
        </w:tc>
        <w:tc>
          <w:tcPr>
            <w:tcW w:w="4153" w:type="dxa"/>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6017" w:type="dxa"/>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公开</w:t>
            </w:r>
            <w:r>
              <w:rPr>
                <w:rFonts w:eastAsia="宋体"/>
                <w:sz w:val="20"/>
                <w:szCs w:val="20"/>
              </w:rPr>
              <w:t>11</w:t>
            </w:r>
            <w:r>
              <w:rPr>
                <w:rFonts w:hint="eastAsia" w:eastAsia="宋体" w:cs="宋体"/>
                <w:sz w:val="20"/>
                <w:szCs w:val="20"/>
              </w:rPr>
              <w:t>表</w:t>
            </w:r>
          </w:p>
        </w:tc>
      </w:tr>
      <w:tr>
        <w:tblPrEx>
          <w:tblLayout w:type="fixed"/>
          <w:tblCellMar>
            <w:top w:w="0" w:type="dxa"/>
            <w:left w:w="108" w:type="dxa"/>
            <w:bottom w:w="0" w:type="dxa"/>
            <w:right w:w="108" w:type="dxa"/>
          </w:tblCellMar>
        </w:tblPrEx>
        <w:trPr>
          <w:trHeight w:val="319" w:hRule="atLeast"/>
          <w:jc w:val="center"/>
        </w:trPr>
        <w:tc>
          <w:tcPr>
            <w:tcW w:w="6707" w:type="dxa"/>
            <w:gridSpan w:val="2"/>
            <w:tcBorders>
              <w:top w:val="nil"/>
              <w:left w:val="nil"/>
              <w:bottom w:val="single" w:color="auto" w:sz="4" w:space="0"/>
              <w:right w:val="nil"/>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部门名称：海安市人民检察院</w:t>
            </w:r>
          </w:p>
        </w:tc>
        <w:tc>
          <w:tcPr>
            <w:tcW w:w="6017" w:type="dxa"/>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金额单位：万元</w:t>
            </w:r>
          </w:p>
        </w:tc>
      </w:tr>
      <w:tr>
        <w:tblPrEx>
          <w:tblLayout w:type="fixed"/>
          <w:tblCellMar>
            <w:top w:w="0" w:type="dxa"/>
            <w:left w:w="108" w:type="dxa"/>
            <w:bottom w:w="0" w:type="dxa"/>
            <w:right w:w="108" w:type="dxa"/>
          </w:tblCellMar>
        </w:tblPrEx>
        <w:trPr>
          <w:trHeight w:val="319" w:hRule="atLeast"/>
          <w:jc w:val="center"/>
        </w:trPr>
        <w:tc>
          <w:tcPr>
            <w:tcW w:w="6707"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项</w:t>
            </w:r>
            <w:r>
              <w:rPr>
                <w:rFonts w:eastAsia="宋体"/>
                <w:sz w:val="20"/>
                <w:szCs w:val="20"/>
              </w:rPr>
              <w:t xml:space="preserve">    </w:t>
            </w:r>
            <w:r>
              <w:rPr>
                <w:rFonts w:hint="eastAsia" w:eastAsia="宋体" w:cs="宋体"/>
                <w:sz w:val="20"/>
                <w:szCs w:val="20"/>
              </w:rPr>
              <w:t>目</w:t>
            </w:r>
          </w:p>
        </w:tc>
        <w:tc>
          <w:tcPr>
            <w:tcW w:w="6017" w:type="dxa"/>
            <w:vMerge w:val="restart"/>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机关运行经费支出决算</w:t>
            </w:r>
          </w:p>
        </w:tc>
      </w:tr>
      <w:tr>
        <w:tblPrEx>
          <w:tblLayout w:type="fixed"/>
          <w:tblCellMar>
            <w:top w:w="0" w:type="dxa"/>
            <w:left w:w="108" w:type="dxa"/>
            <w:bottom w:w="0" w:type="dxa"/>
            <w:right w:w="108" w:type="dxa"/>
          </w:tblCellMar>
        </w:tblPrEx>
        <w:trPr>
          <w:trHeight w:val="642"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科目编码</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科目名称</w:t>
            </w:r>
          </w:p>
        </w:tc>
        <w:tc>
          <w:tcPr>
            <w:tcW w:w="6017"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r>
      <w:tr>
        <w:tblPrEx>
          <w:tblLayout w:type="fixed"/>
          <w:tblCellMar>
            <w:top w:w="0" w:type="dxa"/>
            <w:left w:w="108" w:type="dxa"/>
            <w:bottom w:w="0" w:type="dxa"/>
            <w:right w:w="108" w:type="dxa"/>
          </w:tblCellMar>
        </w:tblPrEx>
        <w:trPr>
          <w:trHeight w:val="319" w:hRule="atLeast"/>
          <w:jc w:val="center"/>
        </w:trPr>
        <w:tc>
          <w:tcPr>
            <w:tcW w:w="6707" w:type="dxa"/>
            <w:gridSpan w:val="2"/>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合计</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220.34</w:t>
            </w:r>
            <w:r>
              <w:rPr>
                <w:rFonts w:hint="eastAsia" w:eastAsia="宋体" w:cs="宋体"/>
                <w:sz w:val="20"/>
                <w:szCs w:val="20"/>
              </w:rPr>
              <w:t>　</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商品和服务支出</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220.34</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30201</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办公费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9.78</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30202</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印刷费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0.02</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30203</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咨询费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30204</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手续费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30205</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水费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1.55</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30206</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 xml:space="preserve">  </w:t>
            </w:r>
            <w:r>
              <w:rPr>
                <w:rFonts w:hint="eastAsia" w:eastAsia="宋体" w:cs="宋体"/>
                <w:sz w:val="20"/>
                <w:szCs w:val="20"/>
              </w:rPr>
              <w:t>电费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49.38</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30207</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邮电费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10.73</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30208</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取暖费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30209</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物业管理费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1.47</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30211</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差旅费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0.13</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30212</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因公出国（境）费用</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30213</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维修（护）费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5.58</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30214</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租赁费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0.72</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30215</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会议费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0.85</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30216</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培训费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0.04</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30217</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公务接待费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1.72</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30218</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专用材料费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30224</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被装购置费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30225</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专用燃料费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1.43</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30226</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劳务费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0.93</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30227</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委托业务费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0.29</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30228</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工会经费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15.53</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30229</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福利费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3.67</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30231</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公务用车运行维护费</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44.80</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30239</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其他交通费用</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71.68</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30240</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税金及附加费用</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30299</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其他商品和服务支出</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0.04</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304</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对企事业单位的补贴</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307</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债务利息支出</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310</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其他资本性支出</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19" w:hRule="atLeast"/>
          <w:jc w:val="center"/>
        </w:trPr>
        <w:tc>
          <w:tcPr>
            <w:tcW w:w="2554"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eastAsia="宋体"/>
                <w:sz w:val="20"/>
                <w:szCs w:val="20"/>
              </w:rPr>
              <w:t>399</w:t>
            </w:r>
          </w:p>
        </w:tc>
        <w:tc>
          <w:tcPr>
            <w:tcW w:w="4153"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其他支出</w:t>
            </w:r>
          </w:p>
        </w:tc>
        <w:tc>
          <w:tcPr>
            <w:tcW w:w="6017"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1350" w:hRule="atLeast"/>
          <w:jc w:val="center"/>
        </w:trPr>
        <w:tc>
          <w:tcPr>
            <w:tcW w:w="12724" w:type="dxa"/>
            <w:gridSpan w:val="3"/>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注：</w:t>
            </w:r>
            <w:r>
              <w:rPr>
                <w:rFonts w:eastAsia="宋体"/>
                <w:sz w:val="20"/>
                <w:szCs w:val="20"/>
              </w:rPr>
              <w:t>1.“</w:t>
            </w:r>
            <w:r>
              <w:rPr>
                <w:rFonts w:hint="eastAsia" w:eastAsia="宋体" w:cs="宋体"/>
                <w:sz w:val="20"/>
                <w:szCs w:val="20"/>
              </w:rPr>
              <w:t>机关运行经费</w:t>
            </w:r>
            <w:r>
              <w:rPr>
                <w:rFonts w:eastAsia="宋体"/>
                <w:sz w:val="20"/>
                <w:szCs w:val="20"/>
              </w:rPr>
              <w:t>”</w:t>
            </w:r>
            <w:r>
              <w:t xml:space="preserve"> </w:t>
            </w:r>
            <w:r>
              <w:rPr>
                <w:rFonts w:hint="eastAsia" w:eastAsia="宋体" w:cs="宋体"/>
                <w:sz w:val="20"/>
                <w:szCs w:val="20"/>
              </w:rPr>
              <w:t>指各部门的公用经费，包括办公及印刷费、邮电费、差旅费、会议费、福利费、日常维修费、专用材料及一般设备购置费、办公用房水电费、办公用房取暖费、办公用房物业管理费、公务用车运行维护费及其他费用。在财政部有明确规定前，</w:t>
            </w:r>
            <w:r>
              <w:rPr>
                <w:rFonts w:eastAsia="宋体"/>
                <w:sz w:val="20"/>
                <w:szCs w:val="20"/>
              </w:rPr>
              <w:t>“</w:t>
            </w:r>
            <w:r>
              <w:rPr>
                <w:rFonts w:hint="eastAsia" w:eastAsia="宋体" w:cs="宋体"/>
                <w:sz w:val="20"/>
                <w:szCs w:val="20"/>
              </w:rPr>
              <w:t>机关运行经费</w:t>
            </w:r>
            <w:r>
              <w:rPr>
                <w:rFonts w:eastAsia="宋体"/>
                <w:sz w:val="20"/>
                <w:szCs w:val="20"/>
              </w:rPr>
              <w:t>”</w:t>
            </w:r>
            <w:r>
              <w:rPr>
                <w:rFonts w:hint="eastAsia" w:eastAsia="宋体" w:cs="宋体"/>
                <w:sz w:val="20"/>
                <w:szCs w:val="20"/>
              </w:rPr>
              <w:t>暂指行政单位（含参照公务员法管理的事业单位）使用一般公共预算安排的基本支出中的“商品和服务支出”经费。</w:t>
            </w:r>
            <w:r>
              <w:rPr>
                <w:rFonts w:eastAsia="宋体"/>
                <w:sz w:val="20"/>
                <w:szCs w:val="20"/>
              </w:rPr>
              <w:br w:type="textWrapping"/>
            </w:r>
            <w:r>
              <w:rPr>
                <w:rFonts w:eastAsia="宋体"/>
                <w:sz w:val="20"/>
                <w:szCs w:val="20"/>
              </w:rPr>
              <w:t xml:space="preserve">   </w:t>
            </w:r>
          </w:p>
        </w:tc>
      </w:tr>
    </w:tbl>
    <w:p>
      <w:pPr>
        <w:ind w:firstLine="0"/>
      </w:pPr>
    </w:p>
    <w:tbl>
      <w:tblPr>
        <w:tblStyle w:val="8"/>
        <w:tblW w:w="10856" w:type="dxa"/>
        <w:jc w:val="center"/>
        <w:tblInd w:w="0" w:type="dxa"/>
        <w:tblLayout w:type="fixed"/>
        <w:tblCellMar>
          <w:top w:w="0" w:type="dxa"/>
          <w:left w:w="108" w:type="dxa"/>
          <w:bottom w:w="0" w:type="dxa"/>
          <w:right w:w="108" w:type="dxa"/>
        </w:tblCellMar>
      </w:tblPr>
      <w:tblGrid>
        <w:gridCol w:w="3181"/>
        <w:gridCol w:w="2702"/>
        <w:gridCol w:w="2702"/>
        <w:gridCol w:w="2271"/>
      </w:tblGrid>
      <w:tr>
        <w:tblPrEx>
          <w:tblLayout w:type="fixed"/>
          <w:tblCellMar>
            <w:top w:w="0" w:type="dxa"/>
            <w:left w:w="108" w:type="dxa"/>
            <w:bottom w:w="0" w:type="dxa"/>
            <w:right w:w="108" w:type="dxa"/>
          </w:tblCellMar>
        </w:tblPrEx>
        <w:trPr>
          <w:trHeight w:val="888" w:hRule="atLeast"/>
          <w:jc w:val="center"/>
        </w:trPr>
        <w:tc>
          <w:tcPr>
            <w:tcW w:w="10856" w:type="dxa"/>
            <w:gridSpan w:val="4"/>
            <w:tcBorders>
              <w:top w:val="nil"/>
              <w:left w:val="nil"/>
              <w:bottom w:val="nil"/>
              <w:right w:val="nil"/>
            </w:tcBorders>
            <w:vAlign w:val="center"/>
          </w:tcPr>
          <w:p>
            <w:pPr>
              <w:widowControl/>
              <w:autoSpaceDE/>
              <w:autoSpaceDN/>
              <w:snapToGrid/>
              <w:spacing w:line="240" w:lineRule="auto"/>
              <w:ind w:firstLine="0"/>
              <w:jc w:val="center"/>
              <w:rPr>
                <w:rFonts w:ascii="宋体" w:hAnsi="宋体" w:eastAsia="宋体"/>
                <w:b/>
                <w:bCs/>
                <w:sz w:val="36"/>
                <w:szCs w:val="36"/>
              </w:rPr>
            </w:pPr>
            <w:r>
              <w:rPr>
                <w:rFonts w:hint="eastAsia" w:ascii="宋体" w:hAnsi="宋体" w:eastAsia="宋体" w:cs="宋体"/>
                <w:b/>
                <w:bCs/>
                <w:sz w:val="36"/>
                <w:szCs w:val="36"/>
              </w:rPr>
              <w:t>政府采购支出决算表</w:t>
            </w:r>
          </w:p>
        </w:tc>
      </w:tr>
      <w:tr>
        <w:tblPrEx>
          <w:tblLayout w:type="fixed"/>
          <w:tblCellMar>
            <w:top w:w="0" w:type="dxa"/>
            <w:left w:w="108" w:type="dxa"/>
            <w:bottom w:w="0" w:type="dxa"/>
            <w:right w:w="108" w:type="dxa"/>
          </w:tblCellMar>
        </w:tblPrEx>
        <w:trPr>
          <w:trHeight w:val="295" w:hRule="atLeast"/>
          <w:jc w:val="center"/>
        </w:trPr>
        <w:tc>
          <w:tcPr>
            <w:tcW w:w="3181" w:type="dxa"/>
            <w:tcBorders>
              <w:top w:val="nil"/>
              <w:left w:val="nil"/>
              <w:bottom w:val="nil"/>
              <w:right w:val="nil"/>
            </w:tcBorders>
            <w:vAlign w:val="center"/>
          </w:tcPr>
          <w:p>
            <w:pPr>
              <w:widowControl/>
              <w:autoSpaceDE/>
              <w:autoSpaceDN/>
              <w:snapToGrid/>
              <w:spacing w:line="240" w:lineRule="auto"/>
              <w:ind w:firstLine="0"/>
              <w:jc w:val="center"/>
              <w:rPr>
                <w:rFonts w:eastAsia="方正小标宋_GBK"/>
                <w:sz w:val="36"/>
                <w:szCs w:val="36"/>
              </w:rPr>
            </w:pPr>
          </w:p>
        </w:tc>
        <w:tc>
          <w:tcPr>
            <w:tcW w:w="2702" w:type="dxa"/>
            <w:tcBorders>
              <w:top w:val="nil"/>
              <w:left w:val="nil"/>
              <w:bottom w:val="nil"/>
              <w:right w:val="nil"/>
            </w:tcBorders>
            <w:vAlign w:val="center"/>
          </w:tcPr>
          <w:p>
            <w:pPr>
              <w:widowControl/>
              <w:autoSpaceDE/>
              <w:autoSpaceDN/>
              <w:snapToGrid/>
              <w:spacing w:line="240" w:lineRule="auto"/>
              <w:ind w:firstLine="0"/>
              <w:jc w:val="center"/>
              <w:rPr>
                <w:rFonts w:eastAsia="Times New Roman"/>
                <w:sz w:val="20"/>
                <w:szCs w:val="20"/>
              </w:rPr>
            </w:pPr>
          </w:p>
        </w:tc>
        <w:tc>
          <w:tcPr>
            <w:tcW w:w="2702"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2271" w:type="dxa"/>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公开</w:t>
            </w:r>
            <w:r>
              <w:rPr>
                <w:rFonts w:eastAsia="宋体"/>
                <w:sz w:val="20"/>
                <w:szCs w:val="20"/>
              </w:rPr>
              <w:t>12</w:t>
            </w:r>
            <w:r>
              <w:rPr>
                <w:rFonts w:hint="eastAsia" w:eastAsia="宋体" w:cs="宋体"/>
                <w:sz w:val="20"/>
                <w:szCs w:val="20"/>
              </w:rPr>
              <w:t>表</w:t>
            </w:r>
          </w:p>
        </w:tc>
      </w:tr>
      <w:tr>
        <w:tblPrEx>
          <w:tblLayout w:type="fixed"/>
          <w:tblCellMar>
            <w:top w:w="0" w:type="dxa"/>
            <w:left w:w="108" w:type="dxa"/>
            <w:bottom w:w="0" w:type="dxa"/>
            <w:right w:w="108" w:type="dxa"/>
          </w:tblCellMar>
        </w:tblPrEx>
        <w:trPr>
          <w:trHeight w:val="295" w:hRule="atLeast"/>
          <w:jc w:val="center"/>
        </w:trPr>
        <w:tc>
          <w:tcPr>
            <w:tcW w:w="3181" w:type="dxa"/>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部门名称：海安市人民检察院</w:t>
            </w:r>
          </w:p>
        </w:tc>
        <w:tc>
          <w:tcPr>
            <w:tcW w:w="2702" w:type="dxa"/>
            <w:tcBorders>
              <w:top w:val="nil"/>
              <w:left w:val="nil"/>
              <w:bottom w:val="nil"/>
              <w:right w:val="nil"/>
            </w:tcBorders>
            <w:vAlign w:val="center"/>
          </w:tcPr>
          <w:p>
            <w:pPr>
              <w:widowControl/>
              <w:autoSpaceDE/>
              <w:autoSpaceDN/>
              <w:snapToGrid/>
              <w:spacing w:line="240" w:lineRule="auto"/>
              <w:ind w:firstLine="0"/>
              <w:jc w:val="left"/>
              <w:rPr>
                <w:rFonts w:eastAsia="宋体"/>
                <w:sz w:val="20"/>
                <w:szCs w:val="20"/>
              </w:rPr>
            </w:pPr>
          </w:p>
        </w:tc>
        <w:tc>
          <w:tcPr>
            <w:tcW w:w="2702" w:type="dxa"/>
            <w:tcBorders>
              <w:top w:val="nil"/>
              <w:left w:val="nil"/>
              <w:bottom w:val="nil"/>
              <w:right w:val="nil"/>
            </w:tcBorders>
            <w:vAlign w:val="center"/>
          </w:tcPr>
          <w:p>
            <w:pPr>
              <w:widowControl/>
              <w:autoSpaceDE/>
              <w:autoSpaceDN/>
              <w:snapToGrid/>
              <w:spacing w:line="240" w:lineRule="auto"/>
              <w:ind w:firstLine="0"/>
              <w:jc w:val="left"/>
              <w:rPr>
                <w:rFonts w:eastAsia="Times New Roman"/>
                <w:sz w:val="20"/>
                <w:szCs w:val="20"/>
              </w:rPr>
            </w:pPr>
          </w:p>
        </w:tc>
        <w:tc>
          <w:tcPr>
            <w:tcW w:w="2271" w:type="dxa"/>
            <w:tcBorders>
              <w:top w:val="nil"/>
              <w:left w:val="nil"/>
              <w:bottom w:val="nil"/>
              <w:right w:val="nil"/>
            </w:tcBorders>
            <w:vAlign w:val="center"/>
          </w:tcPr>
          <w:p>
            <w:pPr>
              <w:widowControl/>
              <w:autoSpaceDE/>
              <w:autoSpaceDN/>
              <w:snapToGrid/>
              <w:spacing w:line="240" w:lineRule="auto"/>
              <w:ind w:firstLine="0"/>
              <w:jc w:val="right"/>
              <w:rPr>
                <w:rFonts w:eastAsia="宋体"/>
                <w:sz w:val="20"/>
                <w:szCs w:val="20"/>
              </w:rPr>
            </w:pPr>
            <w:r>
              <w:rPr>
                <w:rFonts w:hint="eastAsia" w:eastAsia="宋体" w:cs="宋体"/>
                <w:sz w:val="20"/>
                <w:szCs w:val="20"/>
              </w:rPr>
              <w:t>单位：万元</w:t>
            </w:r>
          </w:p>
        </w:tc>
      </w:tr>
      <w:tr>
        <w:tblPrEx>
          <w:tblLayout w:type="fixed"/>
          <w:tblCellMar>
            <w:top w:w="0" w:type="dxa"/>
            <w:left w:w="108" w:type="dxa"/>
            <w:bottom w:w="0" w:type="dxa"/>
            <w:right w:w="108" w:type="dxa"/>
          </w:tblCellMar>
        </w:tblPrEx>
        <w:trPr>
          <w:trHeight w:val="333" w:hRule="atLeast"/>
          <w:jc w:val="center"/>
        </w:trPr>
        <w:tc>
          <w:tcPr>
            <w:tcW w:w="318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采购品目大类</w:t>
            </w:r>
          </w:p>
        </w:tc>
        <w:tc>
          <w:tcPr>
            <w:tcW w:w="7675" w:type="dxa"/>
            <w:gridSpan w:val="3"/>
            <w:tcBorders>
              <w:top w:val="single" w:color="auto" w:sz="4" w:space="0"/>
              <w:left w:val="nil"/>
              <w:bottom w:val="single" w:color="auto" w:sz="4" w:space="0"/>
              <w:right w:val="single" w:color="000000"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采购决算</w:t>
            </w:r>
          </w:p>
        </w:tc>
      </w:tr>
      <w:tr>
        <w:tblPrEx>
          <w:tblLayout w:type="fixed"/>
          <w:tblCellMar>
            <w:top w:w="0" w:type="dxa"/>
            <w:left w:w="108" w:type="dxa"/>
            <w:bottom w:w="0" w:type="dxa"/>
            <w:right w:w="108" w:type="dxa"/>
          </w:tblCellMar>
        </w:tblPrEx>
        <w:trPr>
          <w:trHeight w:val="333" w:hRule="atLeast"/>
          <w:jc w:val="center"/>
        </w:trPr>
        <w:tc>
          <w:tcPr>
            <w:tcW w:w="3181"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p>
        </w:tc>
        <w:tc>
          <w:tcPr>
            <w:tcW w:w="2702" w:type="dxa"/>
            <w:tcBorders>
              <w:top w:val="nil"/>
              <w:left w:val="nil"/>
              <w:bottom w:val="single" w:color="auto" w:sz="4" w:space="0"/>
              <w:right w:val="single" w:color="auto" w:sz="4" w:space="0"/>
            </w:tcBorders>
            <w:shd w:val="clear" w:color="000000" w:fill="FFFFFF"/>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总计</w:t>
            </w:r>
          </w:p>
        </w:tc>
        <w:tc>
          <w:tcPr>
            <w:tcW w:w="2702" w:type="dxa"/>
            <w:tcBorders>
              <w:top w:val="nil"/>
              <w:left w:val="nil"/>
              <w:bottom w:val="single" w:color="auto" w:sz="4" w:space="0"/>
              <w:right w:val="single" w:color="auto" w:sz="4" w:space="0"/>
            </w:tcBorders>
            <w:shd w:val="clear" w:color="000000" w:fill="FFFFFF"/>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财政性资金</w:t>
            </w:r>
          </w:p>
        </w:tc>
        <w:tc>
          <w:tcPr>
            <w:tcW w:w="2271" w:type="dxa"/>
            <w:tcBorders>
              <w:top w:val="nil"/>
              <w:left w:val="nil"/>
              <w:bottom w:val="single" w:color="auto" w:sz="4" w:space="0"/>
              <w:right w:val="single" w:color="auto" w:sz="4" w:space="0"/>
            </w:tcBorders>
            <w:shd w:val="clear" w:color="000000" w:fill="FFFFFF"/>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其他资金</w:t>
            </w:r>
          </w:p>
        </w:tc>
      </w:tr>
      <w:tr>
        <w:tblPrEx>
          <w:tblLayout w:type="fixed"/>
          <w:tblCellMar>
            <w:top w:w="0" w:type="dxa"/>
            <w:left w:w="108" w:type="dxa"/>
            <w:bottom w:w="0" w:type="dxa"/>
            <w:right w:w="108" w:type="dxa"/>
          </w:tblCellMar>
        </w:tblPrEx>
        <w:trPr>
          <w:trHeight w:val="333" w:hRule="atLeast"/>
          <w:jc w:val="center"/>
        </w:trPr>
        <w:tc>
          <w:tcPr>
            <w:tcW w:w="3181"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hint="eastAsia" w:eastAsia="宋体" w:cs="宋体"/>
                <w:sz w:val="20"/>
                <w:szCs w:val="20"/>
              </w:rPr>
              <w:t>合计</w:t>
            </w:r>
          </w:p>
        </w:tc>
        <w:tc>
          <w:tcPr>
            <w:tcW w:w="270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159.02</w:t>
            </w:r>
          </w:p>
        </w:tc>
        <w:tc>
          <w:tcPr>
            <w:tcW w:w="270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159.02</w:t>
            </w:r>
          </w:p>
        </w:tc>
        <w:tc>
          <w:tcPr>
            <w:tcW w:w="2271" w:type="dxa"/>
            <w:tcBorders>
              <w:top w:val="nil"/>
              <w:left w:val="nil"/>
              <w:bottom w:val="single" w:color="auto" w:sz="4" w:space="0"/>
              <w:right w:val="single" w:color="auto" w:sz="4" w:space="0"/>
            </w:tcBorders>
            <w:vAlign w:val="center"/>
          </w:tcPr>
          <w:p>
            <w:pPr>
              <w:widowControl/>
              <w:autoSpaceDE/>
              <w:autoSpaceDN/>
              <w:snapToGrid/>
              <w:spacing w:line="240" w:lineRule="auto"/>
              <w:ind w:right="400" w:firstLine="200" w:firstLineChars="10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33" w:hRule="atLeast"/>
          <w:jc w:val="center"/>
        </w:trPr>
        <w:tc>
          <w:tcPr>
            <w:tcW w:w="3181"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一、货物</w:t>
            </w:r>
          </w:p>
        </w:tc>
        <w:tc>
          <w:tcPr>
            <w:tcW w:w="270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105.65</w:t>
            </w:r>
          </w:p>
        </w:tc>
        <w:tc>
          <w:tcPr>
            <w:tcW w:w="270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105.65</w:t>
            </w:r>
          </w:p>
        </w:tc>
        <w:tc>
          <w:tcPr>
            <w:tcW w:w="227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33" w:hRule="atLeast"/>
          <w:jc w:val="center"/>
        </w:trPr>
        <w:tc>
          <w:tcPr>
            <w:tcW w:w="3181"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二、工程</w:t>
            </w:r>
          </w:p>
        </w:tc>
        <w:tc>
          <w:tcPr>
            <w:tcW w:w="270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30.00</w:t>
            </w:r>
          </w:p>
        </w:tc>
        <w:tc>
          <w:tcPr>
            <w:tcW w:w="270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30.00</w:t>
            </w:r>
          </w:p>
        </w:tc>
        <w:tc>
          <w:tcPr>
            <w:tcW w:w="227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333" w:hRule="atLeast"/>
          <w:jc w:val="center"/>
        </w:trPr>
        <w:tc>
          <w:tcPr>
            <w:tcW w:w="3181" w:type="dxa"/>
            <w:tcBorders>
              <w:top w:val="nil"/>
              <w:left w:val="single" w:color="auto" w:sz="4" w:space="0"/>
              <w:bottom w:val="single" w:color="auto" w:sz="4" w:space="0"/>
              <w:right w:val="single" w:color="auto" w:sz="4" w:space="0"/>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三、服务</w:t>
            </w:r>
          </w:p>
        </w:tc>
        <w:tc>
          <w:tcPr>
            <w:tcW w:w="270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23.37</w:t>
            </w:r>
          </w:p>
        </w:tc>
        <w:tc>
          <w:tcPr>
            <w:tcW w:w="2702"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23.37</w:t>
            </w:r>
          </w:p>
        </w:tc>
        <w:tc>
          <w:tcPr>
            <w:tcW w:w="2271" w:type="dxa"/>
            <w:tcBorders>
              <w:top w:val="nil"/>
              <w:left w:val="nil"/>
              <w:bottom w:val="single" w:color="auto" w:sz="4" w:space="0"/>
              <w:right w:val="single" w:color="auto" w:sz="4" w:space="0"/>
            </w:tcBorders>
            <w:vAlign w:val="center"/>
          </w:tcPr>
          <w:p>
            <w:pPr>
              <w:widowControl/>
              <w:autoSpaceDE/>
              <w:autoSpaceDN/>
              <w:snapToGrid/>
              <w:spacing w:line="240" w:lineRule="auto"/>
              <w:ind w:firstLine="0"/>
              <w:jc w:val="center"/>
              <w:rPr>
                <w:rFonts w:eastAsia="宋体"/>
                <w:sz w:val="20"/>
                <w:szCs w:val="20"/>
              </w:rPr>
            </w:pPr>
            <w:r>
              <w:rPr>
                <w:rFonts w:eastAsia="宋体"/>
                <w:sz w:val="20"/>
                <w:szCs w:val="20"/>
              </w:rPr>
              <w:t>0.00</w:t>
            </w:r>
          </w:p>
        </w:tc>
      </w:tr>
      <w:tr>
        <w:tblPrEx>
          <w:tblLayout w:type="fixed"/>
          <w:tblCellMar>
            <w:top w:w="0" w:type="dxa"/>
            <w:left w:w="108" w:type="dxa"/>
            <w:bottom w:w="0" w:type="dxa"/>
            <w:right w:w="108" w:type="dxa"/>
          </w:tblCellMar>
        </w:tblPrEx>
        <w:trPr>
          <w:trHeight w:val="610" w:hRule="atLeast"/>
          <w:jc w:val="center"/>
        </w:trPr>
        <w:tc>
          <w:tcPr>
            <w:tcW w:w="10856" w:type="dxa"/>
            <w:gridSpan w:val="4"/>
            <w:tcBorders>
              <w:top w:val="single" w:color="auto" w:sz="4" w:space="0"/>
              <w:left w:val="nil"/>
              <w:bottom w:val="nil"/>
              <w:right w:val="nil"/>
            </w:tcBorders>
            <w:vAlign w:val="center"/>
          </w:tcPr>
          <w:p>
            <w:pPr>
              <w:widowControl/>
              <w:autoSpaceDE/>
              <w:autoSpaceDN/>
              <w:snapToGrid/>
              <w:spacing w:line="240" w:lineRule="auto"/>
              <w:ind w:firstLine="0"/>
              <w:jc w:val="left"/>
              <w:rPr>
                <w:rFonts w:eastAsia="宋体"/>
                <w:sz w:val="20"/>
                <w:szCs w:val="20"/>
              </w:rPr>
            </w:pPr>
            <w:r>
              <w:rPr>
                <w:rFonts w:hint="eastAsia" w:eastAsia="宋体" w:cs="宋体"/>
                <w:sz w:val="20"/>
                <w:szCs w:val="20"/>
              </w:rPr>
              <w:t>注：</w:t>
            </w:r>
            <w:r>
              <w:rPr>
                <w:rFonts w:eastAsia="宋体"/>
                <w:sz w:val="20"/>
                <w:szCs w:val="20"/>
              </w:rPr>
              <w:t>“</w:t>
            </w:r>
            <w:r>
              <w:rPr>
                <w:rFonts w:hint="eastAsia" w:eastAsia="宋体" w:cs="宋体"/>
                <w:sz w:val="20"/>
                <w:szCs w:val="20"/>
              </w:rPr>
              <w:t>财政性资金</w:t>
            </w:r>
            <w:r>
              <w:rPr>
                <w:rFonts w:eastAsia="宋体"/>
                <w:sz w:val="20"/>
                <w:szCs w:val="20"/>
              </w:rPr>
              <w:t>”</w:t>
            </w:r>
            <w:r>
              <w:rPr>
                <w:rFonts w:hint="eastAsia" w:eastAsia="宋体" w:cs="宋体"/>
                <w:sz w:val="20"/>
                <w:szCs w:val="20"/>
              </w:rPr>
              <w:t>指纳入财政预算管理的资金，具体包括一般公共预算财政拨款、政府性基金预算财政拨款、财政专户管理事业收入和其他收入等。</w:t>
            </w:r>
          </w:p>
          <w:p>
            <w:pPr>
              <w:widowControl/>
              <w:autoSpaceDE/>
              <w:autoSpaceDN/>
              <w:snapToGrid/>
              <w:spacing w:line="240" w:lineRule="auto"/>
              <w:ind w:firstLine="0"/>
              <w:jc w:val="left"/>
              <w:rPr>
                <w:rFonts w:eastAsia="宋体"/>
                <w:sz w:val="20"/>
                <w:szCs w:val="20"/>
              </w:rPr>
            </w:pPr>
          </w:p>
        </w:tc>
      </w:tr>
    </w:tbl>
    <w:p>
      <w:pPr>
        <w:tabs>
          <w:tab w:val="left" w:pos="3031"/>
        </w:tabs>
      </w:pPr>
      <w:r>
        <w:tab/>
      </w:r>
    </w:p>
    <w:p>
      <w:pPr>
        <w:tabs>
          <w:tab w:val="left" w:pos="3031"/>
        </w:tabs>
      </w:pPr>
    </w:p>
    <w:p>
      <w:pPr>
        <w:tabs>
          <w:tab w:val="left" w:pos="3031"/>
        </w:tabs>
        <w:sectPr>
          <w:pgSz w:w="16838" w:h="11906" w:orient="landscape"/>
          <w:pgMar w:top="1797" w:right="1440" w:bottom="1797" w:left="1440" w:header="851" w:footer="992" w:gutter="0"/>
          <w:cols w:space="720" w:num="1"/>
          <w:docGrid w:type="lines" w:linePitch="312" w:charSpace="0"/>
        </w:sectPr>
      </w:pPr>
    </w:p>
    <w:p>
      <w:pPr>
        <w:widowControl/>
        <w:autoSpaceDE/>
        <w:autoSpaceDN/>
        <w:snapToGrid/>
        <w:spacing w:line="240" w:lineRule="auto"/>
        <w:ind w:firstLine="0"/>
        <w:jc w:val="center"/>
        <w:rPr>
          <w:rFonts w:eastAsia="方正小标宋_GBK"/>
          <w:sz w:val="36"/>
          <w:szCs w:val="36"/>
        </w:rPr>
      </w:pPr>
      <w:r>
        <w:rPr>
          <w:rFonts w:hint="eastAsia" w:ascii="宋体" w:hAnsi="宋体" w:eastAsia="宋体" w:cs="宋体"/>
          <w:b/>
          <w:bCs/>
          <w:sz w:val="36"/>
          <w:szCs w:val="36"/>
        </w:rPr>
        <w:t>第三部分</w:t>
      </w:r>
      <w:r>
        <w:rPr>
          <w:rFonts w:ascii="宋体" w:hAnsi="宋体" w:eastAsia="宋体" w:cs="宋体"/>
          <w:b/>
          <w:bCs/>
          <w:sz w:val="36"/>
          <w:szCs w:val="36"/>
        </w:rPr>
        <w:t xml:space="preserve">  2017</w:t>
      </w:r>
      <w:r>
        <w:rPr>
          <w:rFonts w:hint="eastAsia" w:ascii="宋体" w:hAnsi="宋体" w:eastAsia="宋体" w:cs="宋体"/>
          <w:b/>
          <w:bCs/>
          <w:sz w:val="36"/>
          <w:szCs w:val="36"/>
        </w:rPr>
        <w:t>年度决算情况说明</w:t>
      </w:r>
    </w:p>
    <w:p>
      <w:pPr>
        <w:spacing w:line="550" w:lineRule="exact"/>
        <w:ind w:firstLine="643" w:firstLineChars="200"/>
        <w:rPr>
          <w:rFonts w:ascii="仿宋_GB2312" w:hAnsi="仿宋_GB2312" w:eastAsia="仿宋_GB2312"/>
          <w:b/>
          <w:bCs/>
        </w:rPr>
      </w:pPr>
      <w:r>
        <w:rPr>
          <w:rFonts w:hint="eastAsia" w:ascii="仿宋_GB2312" w:hAnsi="仿宋_GB2312" w:eastAsia="仿宋_GB2312" w:cs="仿宋_GB2312"/>
          <w:b/>
          <w:bCs/>
        </w:rPr>
        <w:t>一、收入支出总体情况说明</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u w:val="single"/>
        </w:rPr>
        <w:t>海安市人民检察院</w:t>
      </w:r>
      <w:r>
        <w:rPr>
          <w:rFonts w:ascii="仿宋_GB2312" w:hAnsi="仿宋_GB2312" w:eastAsia="仿宋_GB2312" w:cs="仿宋_GB2312"/>
        </w:rPr>
        <w:t>2017</w:t>
      </w:r>
      <w:r>
        <w:rPr>
          <w:rFonts w:hint="eastAsia" w:ascii="仿宋_GB2312" w:hAnsi="仿宋_GB2312" w:eastAsia="仿宋_GB2312" w:cs="仿宋_GB2312"/>
        </w:rPr>
        <w:t>年度收入、支出总计</w:t>
      </w:r>
      <w:r>
        <w:rPr>
          <w:rFonts w:ascii="仿宋_GB2312" w:hAnsi="仿宋_GB2312" w:eastAsia="仿宋_GB2312" w:cs="仿宋_GB2312"/>
          <w:u w:val="single"/>
        </w:rPr>
        <w:t xml:space="preserve"> 3598.86   </w:t>
      </w:r>
      <w:r>
        <w:rPr>
          <w:rFonts w:hint="eastAsia" w:ascii="仿宋_GB2312" w:hAnsi="仿宋_GB2312" w:eastAsia="仿宋_GB2312" w:cs="仿宋_GB2312"/>
        </w:rPr>
        <w:t>万元，与上年相比收、支总计各增加</w:t>
      </w:r>
      <w:r>
        <w:rPr>
          <w:rFonts w:ascii="仿宋_GB2312" w:hAnsi="仿宋_GB2312" w:eastAsia="仿宋_GB2312" w:cs="仿宋_GB2312"/>
        </w:rPr>
        <w:t xml:space="preserve"> </w:t>
      </w:r>
      <w:r>
        <w:rPr>
          <w:rFonts w:ascii="仿宋_GB2312" w:hAnsi="仿宋_GB2312" w:eastAsia="仿宋_GB2312" w:cs="仿宋_GB2312"/>
          <w:u w:val="single"/>
        </w:rPr>
        <w:t>232.30</w:t>
      </w:r>
      <w:r>
        <w:rPr>
          <w:rFonts w:hint="eastAsia" w:ascii="仿宋_GB2312" w:hAnsi="仿宋_GB2312" w:eastAsia="仿宋_GB2312" w:cs="仿宋_GB2312"/>
        </w:rPr>
        <w:t>万元，增长</w:t>
      </w:r>
      <w:r>
        <w:rPr>
          <w:rFonts w:ascii="仿宋_GB2312" w:hAnsi="仿宋_GB2312" w:eastAsia="仿宋_GB2312" w:cs="仿宋_GB2312"/>
          <w:u w:val="single"/>
        </w:rPr>
        <w:t xml:space="preserve">  6.9 </w:t>
      </w:r>
      <w:r>
        <w:rPr>
          <w:rFonts w:ascii="仿宋_GB2312" w:hAnsi="仿宋_GB2312" w:eastAsia="仿宋_GB2312" w:cs="仿宋_GB2312"/>
        </w:rPr>
        <w:t>%</w:t>
      </w:r>
      <w:r>
        <w:rPr>
          <w:rFonts w:hint="eastAsia" w:ascii="仿宋_GB2312" w:hAnsi="仿宋_GB2312" w:eastAsia="仿宋_GB2312" w:cs="仿宋_GB2312"/>
        </w:rPr>
        <w:t>。主要原因是工资调整，人员经费支出增加以及大楼搬迁，物业管理费增加。其中：</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（一）收入总计</w:t>
      </w:r>
      <w:r>
        <w:rPr>
          <w:rFonts w:ascii="仿宋_GB2312" w:hAnsi="仿宋_GB2312" w:eastAsia="仿宋_GB2312" w:cs="仿宋_GB2312"/>
          <w:u w:val="single"/>
        </w:rPr>
        <w:t xml:space="preserve"> 3598.86   </w:t>
      </w:r>
      <w:r>
        <w:rPr>
          <w:rFonts w:hint="eastAsia" w:ascii="仿宋_GB2312" w:hAnsi="仿宋_GB2312" w:eastAsia="仿宋_GB2312" w:cs="仿宋_GB2312"/>
        </w:rPr>
        <w:t>万元。包括：</w:t>
      </w:r>
    </w:p>
    <w:p>
      <w:pPr>
        <w:spacing w:line="550" w:lineRule="exact"/>
        <w:ind w:firstLine="640" w:firstLineChars="200"/>
        <w:rPr>
          <w:rFonts w:ascii="仿宋_GB2312" w:hAnsi="仿宋_GB2312" w:eastAsia="仿宋_GB2312"/>
        </w:rPr>
      </w:pPr>
      <w:r>
        <w:rPr>
          <w:rFonts w:ascii="仿宋_GB2312" w:hAnsi="仿宋_GB2312" w:eastAsia="仿宋_GB2312" w:cs="仿宋_GB2312"/>
        </w:rPr>
        <w:t>1</w:t>
      </w:r>
      <w:r>
        <w:rPr>
          <w:rFonts w:hint="eastAsia" w:ascii="仿宋_GB2312" w:hAnsi="仿宋_GB2312" w:eastAsia="仿宋_GB2312" w:cs="仿宋_GB2312"/>
        </w:rPr>
        <w:t>．财政拨款收入</w:t>
      </w:r>
      <w:r>
        <w:rPr>
          <w:rFonts w:ascii="仿宋_GB2312" w:hAnsi="仿宋_GB2312" w:eastAsia="仿宋_GB2312" w:cs="仿宋_GB2312"/>
          <w:u w:val="single"/>
        </w:rPr>
        <w:t xml:space="preserve">   3450.00   </w:t>
      </w:r>
      <w:r>
        <w:rPr>
          <w:rFonts w:hint="eastAsia" w:ascii="仿宋_GB2312" w:hAnsi="仿宋_GB2312" w:eastAsia="仿宋_GB2312" w:cs="仿宋_GB2312"/>
        </w:rPr>
        <w:t>万元，为当年从财政取得的一般公共预算拨款和政府性基金预算拨款，与上年相比增加</w:t>
      </w:r>
      <w:r>
        <w:rPr>
          <w:rFonts w:ascii="仿宋_GB2312" w:hAnsi="仿宋_GB2312" w:eastAsia="仿宋_GB2312" w:cs="仿宋_GB2312"/>
          <w:u w:val="single"/>
        </w:rPr>
        <w:t xml:space="preserve">  356.81  </w:t>
      </w:r>
      <w:r>
        <w:rPr>
          <w:rFonts w:hint="eastAsia" w:ascii="仿宋_GB2312" w:hAnsi="仿宋_GB2312" w:eastAsia="仿宋_GB2312" w:cs="仿宋_GB2312"/>
        </w:rPr>
        <w:t>万元，增长</w:t>
      </w:r>
      <w:r>
        <w:rPr>
          <w:rFonts w:ascii="仿宋_GB2312" w:hAnsi="仿宋_GB2312" w:eastAsia="仿宋_GB2312" w:cs="仿宋_GB2312"/>
          <w:u w:val="single"/>
        </w:rPr>
        <w:t xml:space="preserve"> 11.53 </w:t>
      </w:r>
      <w:r>
        <w:rPr>
          <w:rFonts w:ascii="仿宋_GB2312" w:hAnsi="仿宋_GB2312" w:eastAsia="仿宋_GB2312" w:cs="仿宋_GB2312"/>
        </w:rPr>
        <w:t>%</w:t>
      </w:r>
      <w:r>
        <w:rPr>
          <w:rFonts w:hint="eastAsia" w:ascii="仿宋_GB2312" w:hAnsi="仿宋_GB2312" w:eastAsia="仿宋_GB2312" w:cs="仿宋_GB2312"/>
        </w:rPr>
        <w:t>。主要原因是工资调整，人员经费支出增加以及大楼搬迁，物业管理费支出增加。</w:t>
      </w:r>
    </w:p>
    <w:p>
      <w:pPr>
        <w:spacing w:line="550" w:lineRule="exact"/>
        <w:ind w:firstLine="640" w:firstLineChars="200"/>
        <w:rPr>
          <w:rFonts w:ascii="仿宋_GB2312" w:hAnsi="仿宋_GB2312" w:eastAsia="仿宋_GB2312"/>
        </w:rPr>
      </w:pPr>
      <w:r>
        <w:rPr>
          <w:rFonts w:ascii="仿宋_GB2312" w:hAnsi="仿宋_GB2312" w:eastAsia="仿宋_GB2312" w:cs="仿宋_GB2312"/>
        </w:rPr>
        <w:t>2</w:t>
      </w:r>
      <w:r>
        <w:rPr>
          <w:rFonts w:hint="eastAsia" w:ascii="仿宋_GB2312" w:hAnsi="仿宋_GB2312" w:eastAsia="仿宋_GB2312" w:cs="仿宋_GB2312"/>
        </w:rPr>
        <w:t>．上级补助收入</w:t>
      </w:r>
      <w:r>
        <w:rPr>
          <w:rFonts w:ascii="仿宋_GB2312" w:hAnsi="仿宋_GB2312" w:eastAsia="仿宋_GB2312" w:cs="仿宋_GB2312"/>
          <w:u w:val="single"/>
        </w:rPr>
        <w:t xml:space="preserve">  0 </w:t>
      </w:r>
      <w:r>
        <w:rPr>
          <w:rFonts w:hint="eastAsia" w:ascii="仿宋_GB2312" w:hAnsi="仿宋_GB2312" w:eastAsia="仿宋_GB2312" w:cs="仿宋_GB2312"/>
        </w:rPr>
        <w:t>万元，为</w:t>
      </w:r>
      <w:r>
        <w:rPr>
          <w:rFonts w:hint="eastAsia" w:ascii="仿宋_GB2312" w:hAnsi="仿宋_GB2312" w:eastAsia="仿宋_GB2312" w:cs="仿宋_GB2312"/>
          <w:u w:val="single"/>
        </w:rPr>
        <w:t>事业单位</w:t>
      </w:r>
      <w:r>
        <w:rPr>
          <w:rFonts w:hint="eastAsia" w:ascii="仿宋_GB2312" w:hAnsi="仿宋_GB2312" w:eastAsia="仿宋_GB2312" w:cs="仿宋_GB2312"/>
        </w:rPr>
        <w:t>收到上级单位拨入的非财政补助资金。与上年相比持平</w:t>
      </w:r>
      <w:r>
        <w:rPr>
          <w:rFonts w:hint="eastAsia" w:ascii="仿宋_GB2312" w:hAnsi="仿宋_GB2312" w:eastAsia="仿宋_GB2312" w:cs="仿宋_GB2312"/>
          <w:lang w:eastAsia="zh-CN"/>
        </w:rPr>
        <w:t>，本部门无上级补助收入</w:t>
      </w:r>
      <w:r>
        <w:rPr>
          <w:rFonts w:hint="eastAsia" w:ascii="仿宋_GB2312" w:hAnsi="仿宋_GB2312" w:eastAsia="仿宋_GB2312" w:cs="仿宋_GB2312"/>
        </w:rPr>
        <w:t>。</w:t>
      </w:r>
    </w:p>
    <w:p>
      <w:pPr>
        <w:spacing w:line="550" w:lineRule="exact"/>
        <w:ind w:firstLine="640" w:firstLineChars="200"/>
        <w:rPr>
          <w:rFonts w:ascii="仿宋_GB2312" w:hAnsi="仿宋_GB2312" w:eastAsia="仿宋_GB2312"/>
        </w:rPr>
      </w:pPr>
      <w:r>
        <w:rPr>
          <w:rFonts w:ascii="仿宋_GB2312" w:hAnsi="仿宋_GB2312" w:eastAsia="仿宋_GB2312" w:cs="仿宋_GB2312"/>
        </w:rPr>
        <w:t>3</w:t>
      </w:r>
      <w:r>
        <w:rPr>
          <w:rFonts w:hint="eastAsia" w:ascii="仿宋_GB2312" w:hAnsi="仿宋_GB2312" w:eastAsia="仿宋_GB2312" w:cs="仿宋_GB2312"/>
        </w:rPr>
        <w:t>．事业收入</w:t>
      </w:r>
      <w:r>
        <w:rPr>
          <w:rFonts w:ascii="仿宋_GB2312" w:hAnsi="仿宋_GB2312" w:eastAsia="仿宋_GB2312" w:cs="仿宋_GB2312"/>
          <w:u w:val="single"/>
        </w:rPr>
        <w:t xml:space="preserve">  0  </w:t>
      </w:r>
      <w:r>
        <w:rPr>
          <w:rFonts w:hint="eastAsia" w:ascii="仿宋_GB2312" w:hAnsi="仿宋_GB2312" w:eastAsia="仿宋_GB2312" w:cs="仿宋_GB2312"/>
        </w:rPr>
        <w:t>万元，为</w:t>
      </w:r>
      <w:r>
        <w:rPr>
          <w:rFonts w:hint="eastAsia" w:ascii="仿宋_GB2312" w:hAnsi="仿宋_GB2312" w:eastAsia="仿宋_GB2312" w:cs="仿宋_GB2312"/>
          <w:u w:val="single"/>
        </w:rPr>
        <w:t>事业单位</w:t>
      </w:r>
      <w:r>
        <w:rPr>
          <w:rFonts w:hint="eastAsia" w:ascii="仿宋_GB2312" w:hAnsi="仿宋_GB2312" w:eastAsia="仿宋_GB2312" w:cs="仿宋_GB2312"/>
        </w:rPr>
        <w:t>开展</w:t>
      </w:r>
      <w:r>
        <w:rPr>
          <w:rFonts w:hint="eastAsia" w:ascii="仿宋_GB2312" w:hAnsi="仿宋_GB2312" w:eastAsia="仿宋_GB2312" w:cs="仿宋_GB2312"/>
          <w:u w:val="single"/>
        </w:rPr>
        <w:t>专业</w:t>
      </w:r>
      <w:r>
        <w:rPr>
          <w:rFonts w:hint="eastAsia" w:ascii="仿宋_GB2312" w:hAnsi="仿宋_GB2312" w:eastAsia="仿宋_GB2312" w:cs="仿宋_GB2312"/>
        </w:rPr>
        <w:t>业务活动及其辅助活动取得的收入。与上年相比持平</w:t>
      </w:r>
      <w:r>
        <w:rPr>
          <w:rFonts w:hint="eastAsia" w:ascii="仿宋_GB2312" w:hAnsi="仿宋_GB2312" w:eastAsia="仿宋_GB2312" w:cs="仿宋_GB2312"/>
          <w:lang w:eastAsia="zh-CN"/>
        </w:rPr>
        <w:t>，本部门无事业收入</w:t>
      </w:r>
      <w:r>
        <w:rPr>
          <w:rFonts w:hint="eastAsia" w:ascii="仿宋_GB2312" w:hAnsi="仿宋_GB2312" w:eastAsia="仿宋_GB2312" w:cs="仿宋_GB2312"/>
        </w:rPr>
        <w:t>。</w:t>
      </w:r>
    </w:p>
    <w:p>
      <w:pPr>
        <w:spacing w:line="550" w:lineRule="exact"/>
        <w:ind w:firstLine="640" w:firstLineChars="200"/>
        <w:rPr>
          <w:rFonts w:ascii="仿宋_GB2312" w:hAnsi="仿宋_GB2312" w:eastAsia="仿宋_GB2312"/>
        </w:rPr>
      </w:pPr>
      <w:r>
        <w:rPr>
          <w:rFonts w:ascii="仿宋_GB2312" w:hAnsi="仿宋_GB2312" w:eastAsia="仿宋_GB2312" w:cs="仿宋_GB2312"/>
        </w:rPr>
        <w:t>4</w:t>
      </w:r>
      <w:r>
        <w:rPr>
          <w:rFonts w:hint="eastAsia" w:ascii="仿宋_GB2312" w:hAnsi="仿宋_GB2312" w:eastAsia="仿宋_GB2312" w:cs="仿宋_GB2312"/>
        </w:rPr>
        <w:t>．经营收入</w:t>
      </w:r>
      <w:r>
        <w:rPr>
          <w:rFonts w:ascii="仿宋_GB2312" w:hAnsi="仿宋_GB2312" w:eastAsia="仿宋_GB2312" w:cs="仿宋_GB2312"/>
          <w:u w:val="single"/>
        </w:rPr>
        <w:t xml:space="preserve">  0 </w:t>
      </w:r>
      <w:r>
        <w:rPr>
          <w:rFonts w:hint="eastAsia" w:ascii="仿宋_GB2312" w:hAnsi="仿宋_GB2312" w:eastAsia="仿宋_GB2312" w:cs="仿宋_GB2312"/>
        </w:rPr>
        <w:t>万元，为</w:t>
      </w:r>
      <w:r>
        <w:rPr>
          <w:rFonts w:hint="eastAsia" w:ascii="仿宋_GB2312" w:hAnsi="仿宋_GB2312" w:eastAsia="仿宋_GB2312" w:cs="仿宋_GB2312"/>
          <w:u w:val="single"/>
        </w:rPr>
        <w:t>事业单位</w:t>
      </w:r>
      <w:r>
        <w:rPr>
          <w:rFonts w:hint="eastAsia" w:ascii="仿宋_GB2312" w:hAnsi="仿宋_GB2312" w:eastAsia="仿宋_GB2312" w:cs="仿宋_GB2312"/>
        </w:rPr>
        <w:t>在专业业务活动及其辅助活动之外开展非独立核算经营活动取得的收入。与上年相比持平</w:t>
      </w:r>
      <w:r>
        <w:rPr>
          <w:rFonts w:hint="eastAsia" w:ascii="仿宋_GB2312" w:hAnsi="仿宋_GB2312" w:eastAsia="仿宋_GB2312" w:cs="仿宋_GB2312"/>
          <w:lang w:eastAsia="zh-CN"/>
        </w:rPr>
        <w:t>，本部门无经营收入</w:t>
      </w:r>
      <w:r>
        <w:rPr>
          <w:rFonts w:hint="eastAsia" w:ascii="仿宋_GB2312" w:hAnsi="仿宋_GB2312" w:eastAsia="仿宋_GB2312" w:cs="仿宋_GB2312"/>
        </w:rPr>
        <w:t>。</w:t>
      </w:r>
    </w:p>
    <w:p>
      <w:pPr>
        <w:spacing w:line="550" w:lineRule="exact"/>
        <w:ind w:firstLine="640" w:firstLineChars="200"/>
        <w:rPr>
          <w:rFonts w:ascii="仿宋_GB2312" w:hAnsi="仿宋_GB2312" w:eastAsia="仿宋_GB2312"/>
        </w:rPr>
      </w:pPr>
      <w:r>
        <w:rPr>
          <w:rFonts w:ascii="仿宋_GB2312" w:hAnsi="仿宋_GB2312" w:eastAsia="仿宋_GB2312" w:cs="仿宋_GB2312"/>
        </w:rPr>
        <w:t>5</w:t>
      </w:r>
      <w:r>
        <w:rPr>
          <w:rFonts w:hint="eastAsia" w:ascii="仿宋_GB2312" w:hAnsi="仿宋_GB2312" w:eastAsia="仿宋_GB2312" w:cs="仿宋_GB2312"/>
        </w:rPr>
        <w:t>．附属单位上缴收入</w:t>
      </w:r>
      <w:r>
        <w:rPr>
          <w:rFonts w:ascii="仿宋_GB2312" w:hAnsi="仿宋_GB2312" w:eastAsia="仿宋_GB2312" w:cs="仿宋_GB2312"/>
          <w:u w:val="single"/>
        </w:rPr>
        <w:t xml:space="preserve">  0 </w:t>
      </w:r>
      <w:r>
        <w:rPr>
          <w:rFonts w:hint="eastAsia" w:ascii="仿宋_GB2312" w:hAnsi="仿宋_GB2312" w:eastAsia="仿宋_GB2312" w:cs="仿宋_GB2312"/>
        </w:rPr>
        <w:t>万元，为</w:t>
      </w:r>
      <w:r>
        <w:rPr>
          <w:rFonts w:hint="eastAsia" w:ascii="仿宋_GB2312" w:hAnsi="仿宋_GB2312" w:eastAsia="仿宋_GB2312" w:cs="仿宋_GB2312"/>
          <w:u w:val="single"/>
        </w:rPr>
        <w:t>事业单位</w:t>
      </w:r>
      <w:r>
        <w:rPr>
          <w:rFonts w:hint="eastAsia" w:ascii="仿宋_GB2312" w:hAnsi="仿宋_GB2312" w:eastAsia="仿宋_GB2312" w:cs="仿宋_GB2312"/>
        </w:rPr>
        <w:t>附属独立</w:t>
      </w:r>
      <w:r>
        <w:rPr>
          <w:rFonts w:hint="eastAsia" w:ascii="仿宋_GB2312" w:hAnsi="仿宋_GB2312" w:eastAsia="仿宋_GB2312" w:cs="仿宋_GB2312"/>
          <w:u w:val="single"/>
        </w:rPr>
        <w:t>核算单位</w:t>
      </w:r>
      <w:r>
        <w:rPr>
          <w:rFonts w:hint="eastAsia" w:ascii="仿宋_GB2312" w:hAnsi="仿宋_GB2312" w:eastAsia="仿宋_GB2312" w:cs="仿宋_GB2312"/>
        </w:rPr>
        <w:t>按照有关规定上缴的收入。与上年相比持平</w:t>
      </w:r>
      <w:r>
        <w:rPr>
          <w:rFonts w:hint="eastAsia" w:ascii="仿宋_GB2312" w:hAnsi="仿宋_GB2312" w:eastAsia="仿宋_GB2312" w:cs="仿宋_GB2312"/>
          <w:lang w:eastAsia="zh-CN"/>
        </w:rPr>
        <w:t>，本部门无附属单位上缴收入</w:t>
      </w:r>
      <w:r>
        <w:rPr>
          <w:rFonts w:hint="eastAsia" w:ascii="仿宋_GB2312" w:hAnsi="仿宋_GB2312" w:eastAsia="仿宋_GB2312" w:cs="仿宋_GB2312"/>
        </w:rPr>
        <w:t>。</w:t>
      </w:r>
    </w:p>
    <w:p>
      <w:pPr>
        <w:spacing w:line="550" w:lineRule="exact"/>
        <w:ind w:firstLine="640" w:firstLineChars="200"/>
        <w:rPr>
          <w:rFonts w:ascii="仿宋_GB2312" w:hAnsi="仿宋_GB2312" w:eastAsia="仿宋_GB2312"/>
        </w:rPr>
      </w:pPr>
      <w:r>
        <w:rPr>
          <w:rFonts w:ascii="仿宋_GB2312" w:hAnsi="仿宋_GB2312" w:eastAsia="仿宋_GB2312" w:cs="仿宋_GB2312"/>
        </w:rPr>
        <w:t>6</w:t>
      </w:r>
      <w:r>
        <w:rPr>
          <w:rFonts w:hint="eastAsia" w:ascii="仿宋_GB2312" w:hAnsi="仿宋_GB2312" w:eastAsia="仿宋_GB2312" w:cs="仿宋_GB2312"/>
        </w:rPr>
        <w:t>．其他收入</w:t>
      </w:r>
      <w:r>
        <w:rPr>
          <w:rFonts w:ascii="仿宋_GB2312" w:hAnsi="仿宋_GB2312" w:eastAsia="仿宋_GB2312" w:cs="仿宋_GB2312"/>
          <w:u w:val="single"/>
        </w:rPr>
        <w:t xml:space="preserve">  146.56   </w:t>
      </w:r>
      <w:r>
        <w:rPr>
          <w:rFonts w:hint="eastAsia" w:ascii="仿宋_GB2312" w:hAnsi="仿宋_GB2312" w:eastAsia="仿宋_GB2312" w:cs="仿宋_GB2312"/>
        </w:rPr>
        <w:t>万元，为单位取得的除上述收入以外的各项收入，主要为</w:t>
      </w:r>
      <w:r>
        <w:rPr>
          <w:rFonts w:hint="eastAsia" w:ascii="仿宋_GB2312" w:hAnsi="仿宋_GB2312" w:eastAsia="仿宋_GB2312" w:cs="仿宋_GB2312"/>
          <w:u w:val="single"/>
        </w:rPr>
        <w:t>海安市人民检察院</w:t>
      </w:r>
      <w:r>
        <w:rPr>
          <w:rFonts w:hint="eastAsia" w:ascii="仿宋_GB2312" w:hAnsi="仿宋_GB2312" w:eastAsia="仿宋_GB2312" w:cs="仿宋_GB2312"/>
        </w:rPr>
        <w:t>取得的</w:t>
      </w:r>
      <w:r>
        <w:rPr>
          <w:rFonts w:hint="eastAsia" w:ascii="仿宋_GB2312" w:hAnsi="仿宋_GB2312" w:eastAsia="仿宋_GB2312" w:cs="仿宋_GB2312"/>
          <w:u w:val="single"/>
        </w:rPr>
        <w:t>财政部门通过政府专项补助收入拨付的人员工资调整所追加的人员经费</w:t>
      </w:r>
      <w:r>
        <w:rPr>
          <w:rFonts w:hint="eastAsia" w:ascii="仿宋_GB2312" w:hAnsi="仿宋_GB2312" w:eastAsia="仿宋_GB2312" w:cs="仿宋_GB2312"/>
        </w:rPr>
        <w:t>。与上年相比减少</w:t>
      </w:r>
      <w:r>
        <w:rPr>
          <w:rFonts w:ascii="仿宋_GB2312" w:hAnsi="仿宋_GB2312" w:eastAsia="仿宋_GB2312" w:cs="仿宋_GB2312"/>
          <w:u w:val="single"/>
        </w:rPr>
        <w:t xml:space="preserve">  126.81  </w:t>
      </w:r>
      <w:r>
        <w:rPr>
          <w:rFonts w:hint="eastAsia" w:ascii="仿宋_GB2312" w:hAnsi="仿宋_GB2312" w:eastAsia="仿宋_GB2312" w:cs="仿宋_GB2312"/>
        </w:rPr>
        <w:t>万元，减少</w:t>
      </w:r>
      <w:r>
        <w:rPr>
          <w:rFonts w:ascii="仿宋_GB2312" w:hAnsi="仿宋_GB2312" w:eastAsia="仿宋_GB2312" w:cs="仿宋_GB2312"/>
          <w:u w:val="single"/>
        </w:rPr>
        <w:t xml:space="preserve"> 46.39  </w:t>
      </w:r>
      <w:r>
        <w:rPr>
          <w:rFonts w:ascii="仿宋_GB2312" w:hAnsi="仿宋_GB2312" w:eastAsia="仿宋_GB2312" w:cs="仿宋_GB2312"/>
        </w:rPr>
        <w:t>%</w:t>
      </w:r>
      <w:r>
        <w:rPr>
          <w:rFonts w:hint="eastAsia" w:ascii="仿宋_GB2312" w:hAnsi="仿宋_GB2312" w:eastAsia="仿宋_GB2312" w:cs="仿宋_GB2312"/>
        </w:rPr>
        <w:t>。主要原因是人员工资调整，追加的人员经费其余是通过财政拨款拨付的。</w:t>
      </w:r>
    </w:p>
    <w:p>
      <w:pPr>
        <w:spacing w:line="550" w:lineRule="exact"/>
        <w:ind w:firstLine="640" w:firstLineChars="200"/>
        <w:rPr>
          <w:rFonts w:ascii="仿宋_GB2312" w:hAnsi="仿宋_GB2312" w:eastAsia="仿宋_GB2312"/>
        </w:rPr>
      </w:pPr>
      <w:r>
        <w:rPr>
          <w:rFonts w:ascii="仿宋_GB2312" w:hAnsi="仿宋_GB2312" w:eastAsia="仿宋_GB2312" w:cs="仿宋_GB2312"/>
        </w:rPr>
        <w:t>7</w:t>
      </w:r>
      <w:r>
        <w:rPr>
          <w:rFonts w:hint="eastAsia" w:ascii="仿宋_GB2312" w:hAnsi="仿宋_GB2312" w:eastAsia="仿宋_GB2312" w:cs="仿宋_GB2312"/>
        </w:rPr>
        <w:t>．用事业基金弥补收支差额</w:t>
      </w:r>
      <w:r>
        <w:rPr>
          <w:rFonts w:ascii="仿宋_GB2312" w:hAnsi="仿宋_GB2312" w:eastAsia="仿宋_GB2312" w:cs="仿宋_GB2312"/>
          <w:u w:val="single"/>
        </w:rPr>
        <w:t xml:space="preserve">  0  </w:t>
      </w:r>
      <w:r>
        <w:rPr>
          <w:rFonts w:hint="eastAsia" w:ascii="仿宋_GB2312" w:hAnsi="仿宋_GB2312" w:eastAsia="仿宋_GB2312" w:cs="仿宋_GB2312"/>
        </w:rPr>
        <w:t>万元，为事业单位用事业基金弥补当年收支差额的数额。与上年相比持平。</w:t>
      </w:r>
    </w:p>
    <w:p>
      <w:pPr>
        <w:spacing w:line="550" w:lineRule="exact"/>
        <w:ind w:firstLine="640" w:firstLineChars="200"/>
        <w:rPr>
          <w:rFonts w:ascii="仿宋_GB2312" w:hAnsi="仿宋_GB2312" w:eastAsia="仿宋_GB2312"/>
        </w:rPr>
      </w:pPr>
      <w:r>
        <w:rPr>
          <w:rFonts w:ascii="仿宋_GB2312" w:hAnsi="仿宋_GB2312" w:eastAsia="仿宋_GB2312" w:cs="仿宋_GB2312"/>
        </w:rPr>
        <w:t>8</w:t>
      </w:r>
      <w:r>
        <w:rPr>
          <w:rFonts w:hint="eastAsia" w:ascii="仿宋_GB2312" w:hAnsi="仿宋_GB2312" w:eastAsia="仿宋_GB2312" w:cs="仿宋_GB2312"/>
        </w:rPr>
        <w:t>．年初结转和结余</w:t>
      </w:r>
      <w:r>
        <w:rPr>
          <w:rFonts w:ascii="仿宋_GB2312" w:hAnsi="仿宋_GB2312" w:eastAsia="仿宋_GB2312" w:cs="仿宋_GB2312"/>
          <w:u w:val="single"/>
        </w:rPr>
        <w:t xml:space="preserve">   2.30   </w:t>
      </w:r>
      <w:r>
        <w:rPr>
          <w:rFonts w:hint="eastAsia" w:ascii="仿宋_GB2312" w:hAnsi="仿宋_GB2312" w:eastAsia="仿宋_GB2312" w:cs="仿宋_GB2312"/>
        </w:rPr>
        <w:t>万元，主要为</w:t>
      </w:r>
      <w:r>
        <w:rPr>
          <w:rFonts w:hint="eastAsia" w:ascii="仿宋_GB2312" w:hAnsi="仿宋_GB2312" w:eastAsia="仿宋_GB2312" w:cs="仿宋_GB2312"/>
          <w:u w:val="single"/>
        </w:rPr>
        <w:t>海安市人民检察院</w:t>
      </w:r>
      <w:r>
        <w:rPr>
          <w:rFonts w:hint="eastAsia" w:ascii="仿宋_GB2312" w:hAnsi="仿宋_GB2312" w:eastAsia="仿宋_GB2312" w:cs="仿宋_GB2312"/>
        </w:rPr>
        <w:t>上年结转本年使用的</w:t>
      </w:r>
      <w:r>
        <w:rPr>
          <w:rFonts w:hint="eastAsia" w:ascii="仿宋_GB2312" w:hAnsi="仿宋_GB2312" w:eastAsia="仿宋_GB2312" w:cs="仿宋_GB2312"/>
          <w:u w:val="single"/>
        </w:rPr>
        <w:t>办案经费等资金</w:t>
      </w:r>
      <w:r>
        <w:rPr>
          <w:rFonts w:hint="eastAsia" w:ascii="仿宋_GB2312" w:hAnsi="仿宋_GB2312" w:eastAsia="仿宋_GB2312" w:cs="仿宋_GB2312"/>
        </w:rPr>
        <w:t>。</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（二）支出总计</w:t>
      </w:r>
      <w:r>
        <w:rPr>
          <w:rFonts w:ascii="仿宋_GB2312" w:hAnsi="仿宋_GB2312" w:eastAsia="仿宋_GB2312" w:cs="仿宋_GB2312"/>
          <w:u w:val="single"/>
        </w:rPr>
        <w:t xml:space="preserve">  3598.86  </w:t>
      </w:r>
      <w:r>
        <w:rPr>
          <w:rFonts w:hint="eastAsia" w:ascii="仿宋_GB2312" w:hAnsi="仿宋_GB2312" w:eastAsia="仿宋_GB2312" w:cs="仿宋_GB2312"/>
        </w:rPr>
        <w:t>万元。包括：</w:t>
      </w:r>
    </w:p>
    <w:p>
      <w:pPr>
        <w:spacing w:line="550" w:lineRule="exact"/>
        <w:ind w:firstLine="640" w:firstLineChars="200"/>
        <w:rPr>
          <w:rFonts w:ascii="仿宋_GB2312" w:hAnsi="仿宋_GB2312" w:eastAsia="仿宋_GB2312"/>
        </w:rPr>
      </w:pPr>
      <w:r>
        <w:rPr>
          <w:rFonts w:ascii="仿宋_GB2312" w:hAnsi="仿宋_GB2312" w:eastAsia="仿宋_GB2312" w:cs="仿宋_GB2312"/>
        </w:rPr>
        <w:t>1</w:t>
      </w:r>
      <w:r>
        <w:rPr>
          <w:rFonts w:hint="eastAsia" w:ascii="仿宋_GB2312" w:hAnsi="仿宋_GB2312" w:eastAsia="仿宋_GB2312" w:cs="仿宋_GB2312"/>
        </w:rPr>
        <w:t>．公共安全（类）支出</w:t>
      </w:r>
      <w:r>
        <w:rPr>
          <w:rFonts w:ascii="仿宋_GB2312" w:hAnsi="仿宋_GB2312" w:eastAsia="仿宋_GB2312" w:cs="仿宋_GB2312"/>
          <w:u w:val="single"/>
        </w:rPr>
        <w:t xml:space="preserve">  3243.04  </w:t>
      </w:r>
      <w:r>
        <w:rPr>
          <w:rFonts w:hint="eastAsia" w:ascii="仿宋_GB2312" w:hAnsi="仿宋_GB2312" w:eastAsia="仿宋_GB2312" w:cs="仿宋_GB2312"/>
        </w:rPr>
        <w:t>万元，主要用于检察事务的支出。与上年相比增加</w:t>
      </w:r>
      <w:r>
        <w:rPr>
          <w:rFonts w:ascii="仿宋_GB2312" w:hAnsi="仿宋_GB2312" w:eastAsia="仿宋_GB2312" w:cs="仿宋_GB2312"/>
          <w:u w:val="single"/>
        </w:rPr>
        <w:t xml:space="preserve">  232.30 </w:t>
      </w:r>
      <w:r>
        <w:rPr>
          <w:rFonts w:hint="eastAsia" w:ascii="仿宋_GB2312" w:hAnsi="仿宋_GB2312" w:eastAsia="仿宋_GB2312" w:cs="仿宋_GB2312"/>
        </w:rPr>
        <w:t>万元，增长</w:t>
      </w:r>
      <w:r>
        <w:rPr>
          <w:rFonts w:ascii="仿宋_GB2312" w:hAnsi="仿宋_GB2312" w:eastAsia="仿宋_GB2312" w:cs="仿宋_GB2312"/>
          <w:u w:val="single"/>
        </w:rPr>
        <w:t xml:space="preserve"> 6.90 </w:t>
      </w:r>
      <w:r>
        <w:rPr>
          <w:rFonts w:ascii="仿宋_GB2312" w:hAnsi="仿宋_GB2312" w:eastAsia="仿宋_GB2312" w:cs="仿宋_GB2312"/>
        </w:rPr>
        <w:t>%</w:t>
      </w:r>
      <w:r>
        <w:rPr>
          <w:rFonts w:hint="eastAsia" w:ascii="仿宋_GB2312" w:hAnsi="仿宋_GB2312" w:eastAsia="仿宋_GB2312" w:cs="仿宋_GB2312"/>
        </w:rPr>
        <w:t>。主要原因是工资调整，人员经费支出增加以及大楼搬迁，物业管理费支出增加。</w:t>
      </w:r>
    </w:p>
    <w:p>
      <w:pPr>
        <w:spacing w:line="550" w:lineRule="exact"/>
        <w:ind w:firstLine="640" w:firstLineChars="200"/>
        <w:rPr>
          <w:rFonts w:ascii="仿宋_GB2312" w:hAnsi="仿宋_GB2312" w:eastAsia="仿宋_GB2312"/>
        </w:rPr>
      </w:pPr>
      <w:r>
        <w:rPr>
          <w:rFonts w:ascii="仿宋_GB2312" w:hAnsi="仿宋_GB2312" w:eastAsia="仿宋_GB2312" w:cs="仿宋_GB2312"/>
        </w:rPr>
        <w:t xml:space="preserve">2. </w:t>
      </w:r>
      <w:r>
        <w:rPr>
          <w:rFonts w:hint="eastAsia" w:ascii="仿宋_GB2312" w:hAnsi="仿宋_GB2312" w:eastAsia="仿宋_GB2312" w:cs="仿宋_GB2312"/>
        </w:rPr>
        <w:t>社会保障和就业支出</w:t>
      </w:r>
      <w:r>
        <w:rPr>
          <w:rFonts w:ascii="仿宋_GB2312" w:hAnsi="仿宋_GB2312" w:eastAsia="仿宋_GB2312" w:cs="仿宋_GB2312"/>
          <w:u w:val="single"/>
        </w:rPr>
        <w:t xml:space="preserve">158.74 </w:t>
      </w:r>
      <w:r>
        <w:rPr>
          <w:rFonts w:hint="eastAsia" w:ascii="仿宋_GB2312" w:hAnsi="仿宋_GB2312" w:eastAsia="仿宋_GB2312" w:cs="仿宋_GB2312"/>
        </w:rPr>
        <w:t>万元，主要用于实施养老保险制度，由单位缴纳的基本养老保险费支出。与上年相比增加</w:t>
      </w:r>
      <w:r>
        <w:rPr>
          <w:rFonts w:ascii="仿宋_GB2312" w:hAnsi="仿宋_GB2312" w:eastAsia="仿宋_GB2312" w:cs="仿宋_GB2312"/>
          <w:u w:val="single"/>
        </w:rPr>
        <w:t xml:space="preserve"> 158.74 </w:t>
      </w:r>
      <w:r>
        <w:rPr>
          <w:rFonts w:hint="eastAsia" w:ascii="仿宋_GB2312" w:hAnsi="仿宋_GB2312" w:eastAsia="仿宋_GB2312" w:cs="仿宋_GB2312"/>
        </w:rPr>
        <w:t>万元，增长的主要原因在于上年决算住房公积金支出未单列，本年度决算时根据要求进行了调整，将该项单独设立，与上年决算无法同口径比较。</w:t>
      </w:r>
    </w:p>
    <w:p>
      <w:pPr>
        <w:spacing w:line="550" w:lineRule="exact"/>
        <w:ind w:firstLine="640" w:firstLineChars="200"/>
        <w:rPr>
          <w:rFonts w:ascii="仿宋_GB2312" w:hAnsi="仿宋_GB2312" w:eastAsia="仿宋_GB2312"/>
        </w:rPr>
      </w:pPr>
      <w:r>
        <w:rPr>
          <w:rFonts w:ascii="仿宋_GB2312" w:hAnsi="仿宋_GB2312" w:eastAsia="仿宋_GB2312" w:cs="仿宋_GB2312"/>
        </w:rPr>
        <w:t xml:space="preserve">3. </w:t>
      </w:r>
      <w:r>
        <w:rPr>
          <w:rFonts w:hint="eastAsia" w:ascii="仿宋_GB2312" w:hAnsi="仿宋_GB2312" w:eastAsia="仿宋_GB2312" w:cs="仿宋_GB2312"/>
        </w:rPr>
        <w:t>住房保障支出</w:t>
      </w:r>
      <w:r>
        <w:rPr>
          <w:rFonts w:ascii="仿宋_GB2312" w:hAnsi="仿宋_GB2312" w:eastAsia="仿宋_GB2312" w:cs="仿宋_GB2312"/>
          <w:u w:val="single"/>
        </w:rPr>
        <w:t>195.98</w:t>
      </w:r>
      <w:r>
        <w:rPr>
          <w:rFonts w:hint="eastAsia" w:ascii="仿宋_GB2312" w:hAnsi="仿宋_GB2312" w:eastAsia="仿宋_GB2312" w:cs="仿宋_GB2312"/>
        </w:rPr>
        <w:t>万元，主要用于按照相关规定，为职工缴纳的住房公积金和向职工及离退休人员发放的租金补贴支出。与上年相比增加</w:t>
      </w:r>
      <w:r>
        <w:rPr>
          <w:rFonts w:ascii="仿宋_GB2312" w:hAnsi="仿宋_GB2312" w:eastAsia="仿宋_GB2312" w:cs="仿宋_GB2312"/>
          <w:u w:val="single"/>
        </w:rPr>
        <w:t xml:space="preserve"> 195.98 </w:t>
      </w:r>
      <w:r>
        <w:rPr>
          <w:rFonts w:hint="eastAsia" w:ascii="仿宋_GB2312" w:hAnsi="仿宋_GB2312" w:eastAsia="仿宋_GB2312" w:cs="仿宋_GB2312"/>
        </w:rPr>
        <w:t>万元，增长的主要原因在于上年决算住房保障支出未单列，本年度决算时根据要求进行了调整，将该项单独设立，与上年决算无法同口径比较。</w:t>
      </w:r>
    </w:p>
    <w:p>
      <w:pPr>
        <w:spacing w:line="550" w:lineRule="exact"/>
        <w:ind w:firstLine="640" w:firstLineChars="200"/>
        <w:rPr>
          <w:rFonts w:ascii="仿宋_GB2312" w:hAnsi="仿宋_GB2312" w:eastAsia="仿宋_GB2312"/>
        </w:rPr>
      </w:pPr>
      <w:r>
        <w:rPr>
          <w:rFonts w:ascii="仿宋_GB2312" w:hAnsi="仿宋_GB2312" w:eastAsia="仿宋_GB2312" w:cs="仿宋_GB2312"/>
        </w:rPr>
        <w:t>4</w:t>
      </w:r>
      <w:r>
        <w:rPr>
          <w:rFonts w:hint="eastAsia" w:ascii="仿宋_GB2312" w:hAnsi="仿宋_GB2312" w:eastAsia="仿宋_GB2312" w:cs="仿宋_GB2312"/>
        </w:rPr>
        <w:t>．结余分配</w:t>
      </w:r>
      <w:r>
        <w:rPr>
          <w:rFonts w:ascii="仿宋_GB2312" w:hAnsi="仿宋_GB2312" w:eastAsia="仿宋_GB2312" w:cs="仿宋_GB2312"/>
          <w:u w:val="single"/>
        </w:rPr>
        <w:t xml:space="preserve"> 0 </w:t>
      </w:r>
      <w:r>
        <w:rPr>
          <w:rFonts w:hint="eastAsia" w:ascii="仿宋_GB2312" w:hAnsi="仿宋_GB2312" w:eastAsia="仿宋_GB2312" w:cs="仿宋_GB2312"/>
        </w:rPr>
        <w:t>万元。为单位当年结余的分配情况，主要是</w:t>
      </w:r>
      <w:r>
        <w:rPr>
          <w:rFonts w:hint="eastAsia" w:ascii="仿宋_GB2312" w:hAnsi="仿宋_GB2312" w:eastAsia="仿宋_GB2312" w:cs="仿宋_GB2312"/>
          <w:u w:val="single"/>
        </w:rPr>
        <w:t>事业单位</w:t>
      </w:r>
      <w:r>
        <w:rPr>
          <w:rFonts w:hint="eastAsia" w:ascii="仿宋_GB2312" w:hAnsi="仿宋_GB2312" w:eastAsia="仿宋_GB2312" w:cs="仿宋_GB2312"/>
        </w:rPr>
        <w:t>对非财政补助结余按规定计算缴纳的企业所得税、提取的职工福利基金和转入事业基金等。与上年相比持平。</w:t>
      </w:r>
    </w:p>
    <w:p>
      <w:pPr>
        <w:spacing w:line="550" w:lineRule="exact"/>
        <w:ind w:firstLine="640" w:firstLineChars="200"/>
        <w:rPr>
          <w:rFonts w:ascii="仿宋_GB2312" w:hAnsi="仿宋_GB2312" w:eastAsia="仿宋_GB2312"/>
        </w:rPr>
      </w:pPr>
      <w:r>
        <w:rPr>
          <w:rFonts w:ascii="仿宋_GB2312" w:hAnsi="仿宋_GB2312" w:eastAsia="仿宋_GB2312" w:cs="仿宋_GB2312"/>
        </w:rPr>
        <w:t>4</w:t>
      </w:r>
      <w:r>
        <w:rPr>
          <w:rFonts w:hint="eastAsia" w:ascii="仿宋_GB2312" w:hAnsi="仿宋_GB2312" w:eastAsia="仿宋_GB2312" w:cs="仿宋_GB2312"/>
        </w:rPr>
        <w:t>．年末结转和结余</w:t>
      </w:r>
      <w:r>
        <w:rPr>
          <w:rFonts w:ascii="仿宋_GB2312" w:hAnsi="仿宋_GB2312" w:eastAsia="仿宋_GB2312" w:cs="仿宋_GB2312"/>
          <w:u w:val="single"/>
        </w:rPr>
        <w:t xml:space="preserve"> 1.10   </w:t>
      </w:r>
      <w:r>
        <w:rPr>
          <w:rFonts w:hint="eastAsia" w:ascii="仿宋_GB2312" w:hAnsi="仿宋_GB2312" w:eastAsia="仿宋_GB2312" w:cs="仿宋_GB2312"/>
        </w:rPr>
        <w:t>万元，为单位结转下年的项目支出结转和结余和经营结余。主要为</w:t>
      </w:r>
      <w:r>
        <w:rPr>
          <w:rFonts w:hint="eastAsia" w:ascii="仿宋_GB2312" w:hAnsi="仿宋_GB2312" w:eastAsia="仿宋_GB2312" w:cs="仿宋_GB2312"/>
          <w:u w:val="single"/>
        </w:rPr>
        <w:t>海安市人民检察院</w:t>
      </w:r>
      <w:r>
        <w:rPr>
          <w:rFonts w:hint="eastAsia" w:ascii="仿宋_GB2312" w:hAnsi="仿宋_GB2312" w:eastAsia="仿宋_GB2312" w:cs="仿宋_GB2312"/>
        </w:rPr>
        <w:t>本年度实现的其他收入</w:t>
      </w:r>
      <w:r>
        <w:rPr>
          <w:rFonts w:ascii="仿宋_GB2312" w:hAnsi="仿宋_GB2312" w:eastAsia="仿宋_GB2312" w:cs="仿宋_GB2312"/>
        </w:rPr>
        <w:t>1.10</w:t>
      </w:r>
      <w:r>
        <w:rPr>
          <w:rFonts w:hint="eastAsia" w:ascii="仿宋_GB2312" w:hAnsi="仿宋_GB2312" w:eastAsia="仿宋_GB2312" w:cs="仿宋_GB2312"/>
        </w:rPr>
        <w:t>万元转为历年结余，到以后年度按有关规定使用的资金。</w:t>
      </w:r>
    </w:p>
    <w:p>
      <w:pPr>
        <w:spacing w:line="550" w:lineRule="exact"/>
        <w:ind w:firstLine="643" w:firstLineChars="200"/>
        <w:rPr>
          <w:rFonts w:ascii="仿宋_GB2312" w:hAnsi="仿宋_GB2312" w:eastAsia="仿宋_GB2312"/>
          <w:b/>
          <w:bCs/>
        </w:rPr>
      </w:pPr>
      <w:r>
        <w:rPr>
          <w:rFonts w:hint="eastAsia" w:ascii="仿宋_GB2312" w:hAnsi="仿宋_GB2312" w:eastAsia="仿宋_GB2312" w:cs="仿宋_GB2312"/>
          <w:b/>
          <w:bCs/>
        </w:rPr>
        <w:t>二、收入决算情况说明</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u w:val="single"/>
        </w:rPr>
        <w:t>海安市人民检察院</w:t>
      </w:r>
      <w:r>
        <w:rPr>
          <w:rFonts w:hint="eastAsia" w:ascii="仿宋_GB2312" w:hAnsi="仿宋_GB2312" w:eastAsia="仿宋_GB2312" w:cs="仿宋_GB2312"/>
        </w:rPr>
        <w:t>本年收入合计</w:t>
      </w:r>
      <w:r>
        <w:rPr>
          <w:rFonts w:ascii="仿宋_GB2312" w:hAnsi="仿宋_GB2312" w:eastAsia="仿宋_GB2312" w:cs="仿宋_GB2312"/>
          <w:u w:val="single"/>
        </w:rPr>
        <w:t xml:space="preserve"> 3596.56 </w:t>
      </w:r>
      <w:r>
        <w:rPr>
          <w:rFonts w:hint="eastAsia" w:ascii="仿宋_GB2312" w:hAnsi="仿宋_GB2312" w:eastAsia="仿宋_GB2312" w:cs="仿宋_GB2312"/>
        </w:rPr>
        <w:t>万元，其中：财政拨款收入</w:t>
      </w:r>
      <w:r>
        <w:rPr>
          <w:rFonts w:ascii="仿宋_GB2312" w:hAnsi="仿宋_GB2312" w:eastAsia="仿宋_GB2312" w:cs="仿宋_GB2312"/>
          <w:u w:val="single"/>
        </w:rPr>
        <w:t xml:space="preserve"> 3450.00</w:t>
      </w:r>
      <w:r>
        <w:rPr>
          <w:rFonts w:hint="eastAsia" w:ascii="仿宋_GB2312" w:hAnsi="仿宋_GB2312" w:eastAsia="仿宋_GB2312" w:cs="仿宋_GB2312"/>
        </w:rPr>
        <w:t>万元，占</w:t>
      </w:r>
      <w:r>
        <w:rPr>
          <w:rFonts w:ascii="仿宋_GB2312" w:hAnsi="仿宋_GB2312" w:eastAsia="仿宋_GB2312" w:cs="仿宋_GB2312"/>
          <w:u w:val="single"/>
        </w:rPr>
        <w:t xml:space="preserve"> 95.92 </w:t>
      </w:r>
      <w:r>
        <w:rPr>
          <w:rFonts w:ascii="仿宋_GB2312" w:hAnsi="仿宋_GB2312" w:eastAsia="仿宋_GB2312" w:cs="仿宋_GB2312"/>
        </w:rPr>
        <w:t>%</w:t>
      </w:r>
      <w:r>
        <w:rPr>
          <w:rFonts w:hint="eastAsia" w:ascii="仿宋_GB2312" w:hAnsi="仿宋_GB2312" w:eastAsia="仿宋_GB2312" w:cs="仿宋_GB2312"/>
        </w:rPr>
        <w:t>；上级补助收入</w:t>
      </w:r>
      <w:r>
        <w:rPr>
          <w:rFonts w:ascii="仿宋_GB2312" w:hAnsi="仿宋_GB2312" w:eastAsia="仿宋_GB2312" w:cs="仿宋_GB2312"/>
          <w:u w:val="single"/>
        </w:rPr>
        <w:t xml:space="preserve"> 0</w:t>
      </w:r>
      <w:r>
        <w:rPr>
          <w:rFonts w:hint="eastAsia" w:ascii="仿宋_GB2312" w:hAnsi="仿宋_GB2312" w:eastAsia="仿宋_GB2312" w:cs="仿宋_GB2312"/>
          <w:u w:val="single"/>
          <w:lang w:val="en-US" w:eastAsia="zh-CN"/>
        </w:rPr>
        <w:t xml:space="preserve"> </w:t>
      </w:r>
      <w:r>
        <w:rPr>
          <w:rFonts w:ascii="仿宋_GB2312" w:hAnsi="仿宋_GB2312" w:eastAsia="仿宋_GB2312" w:cs="仿宋_GB2312"/>
          <w:u w:val="single"/>
        </w:rPr>
        <w:t xml:space="preserve"> </w:t>
      </w:r>
      <w:r>
        <w:rPr>
          <w:rFonts w:hint="eastAsia" w:ascii="仿宋_GB2312" w:hAnsi="仿宋_GB2312" w:eastAsia="仿宋_GB2312" w:cs="仿宋_GB2312"/>
        </w:rPr>
        <w:t>万元，占</w:t>
      </w:r>
      <w:r>
        <w:rPr>
          <w:rFonts w:ascii="仿宋_GB2312" w:hAnsi="仿宋_GB2312" w:eastAsia="仿宋_GB2312" w:cs="仿宋_GB2312"/>
          <w:u w:val="single"/>
        </w:rPr>
        <w:t xml:space="preserve"> 0.00</w:t>
      </w:r>
      <w:r>
        <w:rPr>
          <w:rFonts w:ascii="仿宋_GB2312" w:hAnsi="仿宋_GB2312" w:eastAsia="仿宋_GB2312" w:cs="仿宋_GB2312"/>
        </w:rPr>
        <w:t>%</w:t>
      </w:r>
      <w:r>
        <w:rPr>
          <w:rFonts w:hint="eastAsia" w:ascii="仿宋_GB2312" w:hAnsi="仿宋_GB2312" w:eastAsia="仿宋_GB2312" w:cs="仿宋_GB2312"/>
        </w:rPr>
        <w:t>；事业收入</w:t>
      </w:r>
      <w:r>
        <w:rPr>
          <w:rFonts w:ascii="仿宋_GB2312" w:hAnsi="仿宋_GB2312" w:eastAsia="仿宋_GB2312" w:cs="仿宋_GB2312"/>
          <w:u w:val="single"/>
        </w:rPr>
        <w:t xml:space="preserve"> 0</w:t>
      </w:r>
      <w:r>
        <w:rPr>
          <w:rFonts w:hint="eastAsia" w:ascii="仿宋_GB2312" w:hAnsi="仿宋_GB2312" w:eastAsia="仿宋_GB2312" w:cs="仿宋_GB2312"/>
        </w:rPr>
        <w:t>万元，占</w:t>
      </w:r>
      <w:r>
        <w:rPr>
          <w:rFonts w:ascii="仿宋_GB2312" w:hAnsi="仿宋_GB2312" w:eastAsia="仿宋_GB2312" w:cs="仿宋_GB2312"/>
          <w:u w:val="single"/>
        </w:rPr>
        <w:t xml:space="preserve"> 0 </w:t>
      </w:r>
      <w:r>
        <w:rPr>
          <w:rFonts w:ascii="仿宋_GB2312" w:hAnsi="仿宋_GB2312" w:eastAsia="仿宋_GB2312" w:cs="仿宋_GB2312"/>
        </w:rPr>
        <w:t>%</w:t>
      </w:r>
      <w:r>
        <w:rPr>
          <w:rFonts w:hint="eastAsia" w:ascii="仿宋_GB2312" w:hAnsi="仿宋_GB2312" w:eastAsia="仿宋_GB2312" w:cs="仿宋_GB2312"/>
        </w:rPr>
        <w:t>；经营收入</w:t>
      </w:r>
      <w:r>
        <w:rPr>
          <w:rFonts w:ascii="仿宋_GB2312" w:hAnsi="仿宋_GB2312" w:eastAsia="仿宋_GB2312" w:cs="仿宋_GB2312"/>
          <w:u w:val="single"/>
        </w:rPr>
        <w:t xml:space="preserve"> 0</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rPr>
        <w:t>万元，占</w:t>
      </w:r>
      <w:r>
        <w:rPr>
          <w:rFonts w:ascii="仿宋_GB2312" w:hAnsi="仿宋_GB2312" w:eastAsia="仿宋_GB2312" w:cs="仿宋_GB2312"/>
          <w:u w:val="single"/>
        </w:rPr>
        <w:t xml:space="preserve"> 0 </w:t>
      </w:r>
      <w:r>
        <w:rPr>
          <w:rFonts w:ascii="仿宋_GB2312" w:hAnsi="仿宋_GB2312" w:eastAsia="仿宋_GB2312" w:cs="仿宋_GB2312"/>
        </w:rPr>
        <w:t>%</w:t>
      </w:r>
      <w:r>
        <w:rPr>
          <w:rFonts w:hint="eastAsia" w:ascii="仿宋_GB2312" w:hAnsi="仿宋_GB2312" w:eastAsia="仿宋_GB2312" w:cs="仿宋_GB2312"/>
        </w:rPr>
        <w:t>；附属单位上缴收入</w:t>
      </w:r>
      <w:r>
        <w:rPr>
          <w:rFonts w:ascii="仿宋_GB2312" w:hAnsi="仿宋_GB2312" w:eastAsia="仿宋_GB2312" w:cs="仿宋_GB2312"/>
          <w:u w:val="single"/>
        </w:rPr>
        <w:t xml:space="preserve"> </w:t>
      </w:r>
      <w:r>
        <w:rPr>
          <w:rFonts w:hint="eastAsia" w:ascii="仿宋_GB2312" w:hAnsi="仿宋_GB2312" w:eastAsia="仿宋_GB2312" w:cs="仿宋_GB2312"/>
          <w:u w:val="single"/>
          <w:lang w:val="en-US" w:eastAsia="zh-CN"/>
        </w:rPr>
        <w:t xml:space="preserve"> </w:t>
      </w:r>
      <w:r>
        <w:rPr>
          <w:rFonts w:ascii="仿宋_GB2312" w:hAnsi="仿宋_GB2312" w:eastAsia="仿宋_GB2312" w:cs="仿宋_GB2312"/>
          <w:u w:val="single"/>
        </w:rPr>
        <w:t xml:space="preserve">0 </w:t>
      </w:r>
      <w:r>
        <w:rPr>
          <w:rFonts w:hint="eastAsia" w:ascii="仿宋_GB2312" w:hAnsi="仿宋_GB2312" w:eastAsia="仿宋_GB2312" w:cs="仿宋_GB2312"/>
        </w:rPr>
        <w:t>万元，占</w:t>
      </w:r>
      <w:r>
        <w:rPr>
          <w:rFonts w:ascii="仿宋_GB2312" w:hAnsi="仿宋_GB2312" w:eastAsia="仿宋_GB2312" w:cs="仿宋_GB2312"/>
          <w:u w:val="single"/>
        </w:rPr>
        <w:t xml:space="preserve"> 0 </w:t>
      </w:r>
      <w:r>
        <w:rPr>
          <w:rFonts w:ascii="仿宋_GB2312" w:hAnsi="仿宋_GB2312" w:eastAsia="仿宋_GB2312" w:cs="仿宋_GB2312"/>
        </w:rPr>
        <w:t>%</w:t>
      </w:r>
      <w:r>
        <w:rPr>
          <w:rFonts w:hint="eastAsia" w:ascii="仿宋_GB2312" w:hAnsi="仿宋_GB2312" w:eastAsia="仿宋_GB2312" w:cs="仿宋_GB2312"/>
        </w:rPr>
        <w:t>；其他收入</w:t>
      </w:r>
      <w:r>
        <w:rPr>
          <w:rFonts w:ascii="仿宋_GB2312" w:hAnsi="仿宋_GB2312" w:eastAsia="仿宋_GB2312" w:cs="仿宋_GB2312"/>
          <w:u w:val="single"/>
        </w:rPr>
        <w:t xml:space="preserve"> 146.56 </w:t>
      </w:r>
      <w:r>
        <w:rPr>
          <w:rFonts w:hint="eastAsia" w:ascii="仿宋_GB2312" w:hAnsi="仿宋_GB2312" w:eastAsia="仿宋_GB2312" w:cs="仿宋_GB2312"/>
        </w:rPr>
        <w:t>万元，占</w:t>
      </w:r>
      <w:r>
        <w:rPr>
          <w:rFonts w:ascii="仿宋_GB2312" w:hAnsi="仿宋_GB2312" w:eastAsia="仿宋_GB2312" w:cs="仿宋_GB2312"/>
          <w:u w:val="single"/>
        </w:rPr>
        <w:t xml:space="preserve"> 4.08  </w:t>
      </w:r>
      <w:r>
        <w:rPr>
          <w:rFonts w:ascii="仿宋_GB2312" w:hAnsi="仿宋_GB2312" w:eastAsia="仿宋_GB2312" w:cs="仿宋_GB2312"/>
        </w:rPr>
        <w:t>%</w:t>
      </w:r>
      <w:r>
        <w:rPr>
          <w:rFonts w:hint="eastAsia" w:ascii="仿宋_GB2312" w:hAnsi="仿宋_GB2312" w:eastAsia="仿宋_GB2312" w:cs="仿宋_GB2312"/>
        </w:rPr>
        <w:t>。</w:t>
      </w:r>
    </w:p>
    <w:p>
      <w:pPr>
        <w:spacing w:line="550" w:lineRule="exact"/>
        <w:ind w:firstLine="0"/>
        <w:jc w:val="center"/>
        <w:rPr>
          <w:rFonts w:ascii="仿宋_GB2312" w:hAnsi="仿宋_GB2312" w:eastAsia="仿宋_GB2312"/>
        </w:rPr>
      </w:pPr>
    </w:p>
    <w:p>
      <w:pPr>
        <w:spacing w:line="550" w:lineRule="exact"/>
        <w:ind w:firstLine="0"/>
        <w:jc w:val="center"/>
        <w:rPr>
          <w:rFonts w:ascii="仿宋_GB2312" w:hAnsi="仿宋_GB2312" w:eastAsia="仿宋_GB2312"/>
        </w:rPr>
      </w:pPr>
      <w:r>
        <w:rPr>
          <w:rFonts w:hint="eastAsia" w:ascii="仿宋_GB2312" w:hAnsi="仿宋_GB2312" w:eastAsia="仿宋_GB2312" w:cs="仿宋_GB2312"/>
        </w:rPr>
        <w:t>图</w:t>
      </w:r>
      <w:r>
        <w:rPr>
          <w:rFonts w:ascii="仿宋_GB2312" w:hAnsi="仿宋_GB2312" w:eastAsia="仿宋_GB2312" w:cs="仿宋_GB2312"/>
        </w:rPr>
        <w:t>1</w:t>
      </w:r>
      <w:r>
        <w:rPr>
          <w:rFonts w:hint="eastAsia" w:ascii="仿宋_GB2312" w:hAnsi="仿宋_GB2312" w:eastAsia="仿宋_GB2312" w:cs="仿宋_GB2312"/>
        </w:rPr>
        <w:t>：收入决算图</w:t>
      </w:r>
    </w:p>
    <w:p>
      <w:pPr>
        <w:pStyle w:val="23"/>
        <w:jc w:val="left"/>
      </w:pPr>
      <w:r>
        <w:object>
          <v:shape id="_x0000_i1025" o:spt="75" type="#_x0000_t75" style="height:183pt;width:385.5pt;" o:ole="t" filled="f" o:preferrelative="t" stroked="f" coordsize="21600,21600">
            <v:path/>
            <v:fill on="f" focussize="0,0"/>
            <v:stroke on="f" joinstyle="miter"/>
            <v:imagedata r:id="rId6" cropbottom="-162f" o:title=""/>
            <o:lock v:ext="edit" aspectratio="f"/>
            <w10:wrap type="none"/>
            <w10:anchorlock/>
          </v:shape>
          <o:OLEObject Type="Embed" ProgID="Excel.Chart.8" ShapeID="_x0000_i1025" DrawAspect="Content" ObjectID="_1468075725" r:id="rId5">
            <o:LockedField>false</o:LockedField>
          </o:OLEObject>
        </w:object>
      </w:r>
    </w:p>
    <w:p>
      <w:pPr>
        <w:spacing w:line="550" w:lineRule="exact"/>
        <w:ind w:firstLine="643" w:firstLineChars="200"/>
        <w:rPr>
          <w:rFonts w:ascii="仿宋_GB2312" w:hAnsi="仿宋_GB2312" w:eastAsia="仿宋_GB2312"/>
          <w:b/>
          <w:bCs/>
        </w:rPr>
      </w:pPr>
      <w:r>
        <w:rPr>
          <w:rFonts w:hint="eastAsia" w:ascii="仿宋_GB2312" w:hAnsi="仿宋_GB2312" w:eastAsia="仿宋_GB2312" w:cs="仿宋_GB2312"/>
          <w:b/>
          <w:bCs/>
        </w:rPr>
        <w:t>三、支出决算情况说明</w:t>
      </w:r>
    </w:p>
    <w:p>
      <w:pPr>
        <w:spacing w:line="550" w:lineRule="exact"/>
        <w:ind w:left="160" w:leftChars="50" w:firstLine="640" w:firstLineChars="200"/>
        <w:rPr>
          <w:rFonts w:ascii="仿宋_GB2312" w:hAnsi="仿宋_GB2312" w:eastAsia="仿宋_GB2312"/>
          <w:i/>
          <w:iCs/>
        </w:rPr>
      </w:pPr>
      <w:r>
        <w:rPr>
          <w:rFonts w:hint="eastAsia" w:ascii="仿宋_GB2312" w:hAnsi="仿宋_GB2312" w:eastAsia="仿宋_GB2312" w:cs="仿宋_GB2312"/>
          <w:u w:val="single"/>
        </w:rPr>
        <w:t>海安市人民检察院</w:t>
      </w:r>
      <w:r>
        <w:rPr>
          <w:rFonts w:hint="eastAsia" w:ascii="仿宋_GB2312" w:hAnsi="仿宋_GB2312" w:eastAsia="仿宋_GB2312" w:cs="仿宋_GB2312"/>
        </w:rPr>
        <w:t>本年支出合计</w:t>
      </w:r>
      <w:r>
        <w:rPr>
          <w:rFonts w:ascii="仿宋_GB2312" w:hAnsi="仿宋_GB2312" w:eastAsia="仿宋_GB2312" w:cs="仿宋_GB2312"/>
          <w:u w:val="single"/>
        </w:rPr>
        <w:t xml:space="preserve"> 3597.76 </w:t>
      </w:r>
      <w:r>
        <w:rPr>
          <w:rFonts w:hint="eastAsia" w:ascii="仿宋_GB2312" w:hAnsi="仿宋_GB2312" w:eastAsia="仿宋_GB2312" w:cs="仿宋_GB2312"/>
        </w:rPr>
        <w:t>万元，其中：基本支出</w:t>
      </w:r>
      <w:r>
        <w:rPr>
          <w:rFonts w:ascii="仿宋_GB2312" w:hAnsi="仿宋_GB2312" w:eastAsia="仿宋_GB2312" w:cs="仿宋_GB2312"/>
          <w:u w:val="single"/>
        </w:rPr>
        <w:t xml:space="preserve"> 2376.96  </w:t>
      </w:r>
      <w:r>
        <w:rPr>
          <w:rFonts w:hint="eastAsia" w:ascii="仿宋_GB2312" w:hAnsi="仿宋_GB2312" w:eastAsia="仿宋_GB2312" w:cs="仿宋_GB2312"/>
        </w:rPr>
        <w:t>万元，占</w:t>
      </w:r>
      <w:r>
        <w:rPr>
          <w:rFonts w:ascii="仿宋_GB2312" w:hAnsi="仿宋_GB2312" w:eastAsia="仿宋_GB2312" w:cs="仿宋_GB2312"/>
          <w:u w:val="single"/>
        </w:rPr>
        <w:t xml:space="preserve">  66.07 </w:t>
      </w:r>
      <w:r>
        <w:rPr>
          <w:rFonts w:ascii="仿宋_GB2312" w:hAnsi="仿宋_GB2312" w:eastAsia="仿宋_GB2312" w:cs="仿宋_GB2312"/>
        </w:rPr>
        <w:t>%</w:t>
      </w:r>
      <w:r>
        <w:rPr>
          <w:rFonts w:hint="eastAsia" w:ascii="仿宋_GB2312" w:hAnsi="仿宋_GB2312" w:eastAsia="仿宋_GB2312" w:cs="仿宋_GB2312"/>
        </w:rPr>
        <w:t>；项目支出</w:t>
      </w:r>
      <w:r>
        <w:rPr>
          <w:rFonts w:ascii="仿宋_GB2312" w:hAnsi="仿宋_GB2312" w:eastAsia="仿宋_GB2312" w:cs="仿宋_GB2312"/>
          <w:u w:val="single"/>
        </w:rPr>
        <w:t xml:space="preserve">  1220.80  </w:t>
      </w:r>
      <w:r>
        <w:rPr>
          <w:rFonts w:hint="eastAsia" w:ascii="仿宋_GB2312" w:hAnsi="仿宋_GB2312" w:eastAsia="仿宋_GB2312" w:cs="仿宋_GB2312"/>
        </w:rPr>
        <w:t>万元，占</w:t>
      </w:r>
      <w:r>
        <w:rPr>
          <w:rFonts w:ascii="仿宋_GB2312" w:hAnsi="仿宋_GB2312" w:eastAsia="仿宋_GB2312" w:cs="仿宋_GB2312"/>
          <w:u w:val="single"/>
        </w:rPr>
        <w:t xml:space="preserve"> 33.93 </w:t>
      </w:r>
      <w:r>
        <w:rPr>
          <w:rFonts w:ascii="仿宋_GB2312" w:hAnsi="仿宋_GB2312" w:eastAsia="仿宋_GB2312" w:cs="仿宋_GB2312"/>
        </w:rPr>
        <w:t>%</w:t>
      </w:r>
      <w:r>
        <w:rPr>
          <w:rFonts w:hint="eastAsia" w:ascii="仿宋_GB2312" w:hAnsi="仿宋_GB2312" w:eastAsia="仿宋_GB2312" w:cs="仿宋_GB2312"/>
        </w:rPr>
        <w:t>；经营支出</w:t>
      </w:r>
      <w:r>
        <w:rPr>
          <w:rFonts w:ascii="仿宋_GB2312" w:hAnsi="仿宋_GB2312" w:eastAsia="仿宋_GB2312" w:cs="仿宋_GB2312"/>
          <w:u w:val="single"/>
        </w:rPr>
        <w:t xml:space="preserve"> 0 </w:t>
      </w:r>
      <w:r>
        <w:rPr>
          <w:rFonts w:hint="eastAsia" w:ascii="仿宋_GB2312" w:hAnsi="仿宋_GB2312" w:eastAsia="仿宋_GB2312" w:cs="仿宋_GB2312"/>
        </w:rPr>
        <w:t>万元，占</w:t>
      </w:r>
      <w:r>
        <w:rPr>
          <w:rFonts w:ascii="仿宋_GB2312" w:hAnsi="仿宋_GB2312" w:eastAsia="仿宋_GB2312" w:cs="仿宋_GB2312"/>
          <w:u w:val="single"/>
        </w:rPr>
        <w:t xml:space="preserve"> 0</w:t>
      </w:r>
      <w:r>
        <w:rPr>
          <w:rFonts w:hint="eastAsia" w:ascii="仿宋_GB2312" w:hAnsi="仿宋_GB2312" w:eastAsia="仿宋_GB2312" w:cs="仿宋_GB2312"/>
          <w:u w:val="single"/>
          <w:lang w:val="en-US" w:eastAsia="zh-CN"/>
        </w:rPr>
        <w:t xml:space="preserve"> </w:t>
      </w:r>
      <w:r>
        <w:rPr>
          <w:rFonts w:ascii="仿宋_GB2312" w:hAnsi="仿宋_GB2312" w:eastAsia="仿宋_GB2312" w:cs="仿宋_GB2312"/>
        </w:rPr>
        <w:t>%</w:t>
      </w:r>
      <w:r>
        <w:rPr>
          <w:rFonts w:hint="eastAsia" w:ascii="仿宋_GB2312" w:hAnsi="仿宋_GB2312" w:eastAsia="仿宋_GB2312" w:cs="仿宋_GB2312"/>
        </w:rPr>
        <w:t>；对附属单位补助支出</w:t>
      </w:r>
      <w:r>
        <w:rPr>
          <w:rFonts w:hint="eastAsia" w:ascii="仿宋_GB2312" w:hAnsi="仿宋_GB2312" w:eastAsia="仿宋_GB2312" w:cs="仿宋_GB2312"/>
          <w:u w:val="single"/>
          <w:lang w:val="en-US" w:eastAsia="zh-CN"/>
        </w:rPr>
        <w:t xml:space="preserve"> </w:t>
      </w:r>
      <w:r>
        <w:rPr>
          <w:rFonts w:ascii="仿宋_GB2312" w:hAnsi="仿宋_GB2312" w:eastAsia="仿宋_GB2312" w:cs="仿宋_GB2312"/>
          <w:u w:val="single"/>
        </w:rPr>
        <w:t xml:space="preserve">0 </w:t>
      </w:r>
      <w:r>
        <w:rPr>
          <w:rFonts w:hint="eastAsia" w:ascii="仿宋_GB2312" w:hAnsi="仿宋_GB2312" w:eastAsia="仿宋_GB2312" w:cs="仿宋_GB2312"/>
        </w:rPr>
        <w:t>万元，占</w:t>
      </w:r>
      <w:r>
        <w:rPr>
          <w:rFonts w:ascii="仿宋_GB2312" w:hAnsi="仿宋_GB2312" w:eastAsia="仿宋_GB2312" w:cs="仿宋_GB2312"/>
          <w:u w:val="single"/>
        </w:rPr>
        <w:t xml:space="preserve"> </w:t>
      </w:r>
      <w:r>
        <w:rPr>
          <w:rFonts w:hint="eastAsia" w:ascii="仿宋_GB2312" w:hAnsi="仿宋_GB2312" w:eastAsia="仿宋_GB2312" w:cs="仿宋_GB2312"/>
          <w:u w:val="single"/>
          <w:lang w:val="en-US" w:eastAsia="zh-CN"/>
        </w:rPr>
        <w:t xml:space="preserve"> </w:t>
      </w:r>
      <w:r>
        <w:rPr>
          <w:rFonts w:ascii="仿宋_GB2312" w:hAnsi="仿宋_GB2312" w:eastAsia="仿宋_GB2312" w:cs="仿宋_GB2312"/>
          <w:u w:val="single"/>
        </w:rPr>
        <w:t xml:space="preserve">0 </w:t>
      </w:r>
      <w:r>
        <w:rPr>
          <w:rFonts w:ascii="仿宋_GB2312" w:hAnsi="仿宋_GB2312" w:eastAsia="仿宋_GB2312" w:cs="仿宋_GB2312"/>
        </w:rPr>
        <w:t>%</w:t>
      </w:r>
      <w:r>
        <w:rPr>
          <w:rFonts w:hint="eastAsia" w:ascii="仿宋_GB2312" w:hAnsi="仿宋_GB2312" w:eastAsia="仿宋_GB2312" w:cs="仿宋_GB2312"/>
        </w:rPr>
        <w:t>。</w:t>
      </w:r>
    </w:p>
    <w:p>
      <w:pPr>
        <w:spacing w:line="550" w:lineRule="exact"/>
        <w:ind w:left="160" w:leftChars="50" w:firstLine="480" w:firstLineChars="150"/>
        <w:jc w:val="center"/>
        <w:rPr>
          <w:rFonts w:ascii="仿宋_GB2312" w:hAnsi="仿宋_GB2312" w:eastAsia="仿宋_GB2312"/>
        </w:rPr>
      </w:pPr>
      <w:r>
        <w:rPr>
          <w:rFonts w:hint="eastAsia" w:ascii="仿宋_GB2312" w:hAnsi="仿宋_GB2312" w:eastAsia="仿宋_GB2312" w:cs="仿宋_GB2312"/>
        </w:rPr>
        <w:t>图</w:t>
      </w:r>
      <w:r>
        <w:rPr>
          <w:rFonts w:ascii="仿宋_GB2312" w:hAnsi="仿宋_GB2312" w:eastAsia="仿宋_GB2312" w:cs="仿宋_GB2312"/>
        </w:rPr>
        <w:t>2</w:t>
      </w:r>
      <w:r>
        <w:rPr>
          <w:rFonts w:hint="eastAsia" w:ascii="仿宋_GB2312" w:hAnsi="仿宋_GB2312" w:eastAsia="仿宋_GB2312" w:cs="仿宋_GB2312"/>
        </w:rPr>
        <w:t>：支出决算图</w:t>
      </w:r>
    </w:p>
    <w:p>
      <w:pPr>
        <w:pStyle w:val="2"/>
      </w:pPr>
      <w:r>
        <w:object>
          <v:shape id="_x0000_i1026" o:spt="75" type="#_x0000_t75" style="height:193.5pt;width:363.75pt;" o:ole="t" filled="f" o:preferrelative="t" stroked="f" coordsize="21600,21600">
            <v:path/>
            <v:fill on="f" focussize="0,0"/>
            <v:stroke on="f" joinstyle="miter"/>
            <v:imagedata r:id="rId8" cropbottom="-136f" o:title=""/>
            <o:lock v:ext="edit" aspectratio="f"/>
            <w10:wrap type="none"/>
            <w10:anchorlock/>
          </v:shape>
          <o:OLEObject Type="Embed" ProgID="Excel.Chart.8" ShapeID="_x0000_i1026" DrawAspect="Content" ObjectID="_1468075726" r:id="rId7">
            <o:LockedField>false</o:LockedField>
          </o:OLEObject>
        </w:object>
      </w:r>
    </w:p>
    <w:p>
      <w:pPr>
        <w:spacing w:line="550" w:lineRule="exact"/>
        <w:ind w:firstLine="624" w:firstLineChars="195"/>
        <w:rPr>
          <w:rFonts w:ascii="仿宋_GB2312" w:hAnsi="仿宋_GB2312" w:eastAsia="仿宋_GB2312"/>
        </w:rPr>
      </w:pPr>
    </w:p>
    <w:p>
      <w:pPr>
        <w:spacing w:line="550" w:lineRule="exact"/>
        <w:ind w:firstLine="643" w:firstLineChars="200"/>
        <w:rPr>
          <w:rFonts w:ascii="仿宋_GB2312" w:hAnsi="仿宋_GB2312" w:eastAsia="仿宋_GB2312"/>
          <w:b/>
          <w:bCs/>
        </w:rPr>
      </w:pPr>
      <w:r>
        <w:rPr>
          <w:rFonts w:hint="eastAsia" w:ascii="仿宋_GB2312" w:hAnsi="仿宋_GB2312" w:eastAsia="仿宋_GB2312" w:cs="仿宋_GB2312"/>
          <w:b/>
          <w:bCs/>
        </w:rPr>
        <w:t>四、财政拨款收入支出决算总体情况说明</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u w:val="single"/>
        </w:rPr>
        <w:t>海安市人民检察院</w:t>
      </w:r>
      <w:r>
        <w:rPr>
          <w:rFonts w:ascii="仿宋_GB2312" w:hAnsi="仿宋_GB2312" w:eastAsia="仿宋_GB2312" w:cs="仿宋_GB2312"/>
        </w:rPr>
        <w:t>2017</w:t>
      </w:r>
      <w:r>
        <w:rPr>
          <w:rFonts w:hint="eastAsia" w:ascii="仿宋_GB2312" w:hAnsi="仿宋_GB2312" w:eastAsia="仿宋_GB2312" w:cs="仿宋_GB2312"/>
        </w:rPr>
        <w:t>年度财政拨款收、支总决算</w:t>
      </w:r>
      <w:r>
        <w:rPr>
          <w:rFonts w:ascii="仿宋_GB2312" w:hAnsi="仿宋_GB2312" w:eastAsia="仿宋_GB2312" w:cs="仿宋_GB2312"/>
          <w:u w:val="single"/>
        </w:rPr>
        <w:t xml:space="preserve">   3450.00</w:t>
      </w:r>
      <w:r>
        <w:rPr>
          <w:rFonts w:hint="eastAsia" w:ascii="仿宋_GB2312" w:hAnsi="仿宋_GB2312" w:eastAsia="仿宋_GB2312" w:cs="仿宋_GB2312"/>
        </w:rPr>
        <w:t>万元。与上年相比，财政拨款收、支总计各增加</w:t>
      </w:r>
      <w:r>
        <w:rPr>
          <w:rFonts w:ascii="仿宋_GB2312" w:hAnsi="仿宋_GB2312" w:eastAsia="仿宋_GB2312" w:cs="仿宋_GB2312"/>
          <w:u w:val="single"/>
        </w:rPr>
        <w:t xml:space="preserve">356.81 </w:t>
      </w:r>
      <w:r>
        <w:rPr>
          <w:rFonts w:hint="eastAsia" w:ascii="仿宋_GB2312" w:hAnsi="仿宋_GB2312" w:eastAsia="仿宋_GB2312" w:cs="仿宋_GB2312"/>
        </w:rPr>
        <w:t>万元，增长</w:t>
      </w:r>
      <w:r>
        <w:rPr>
          <w:rFonts w:ascii="仿宋_GB2312" w:hAnsi="仿宋_GB2312" w:eastAsia="仿宋_GB2312" w:cs="仿宋_GB2312"/>
          <w:u w:val="single"/>
        </w:rPr>
        <w:t xml:space="preserve"> 11.54% </w:t>
      </w:r>
      <w:r>
        <w:rPr>
          <w:rFonts w:hint="eastAsia" w:ascii="仿宋_GB2312" w:hAnsi="仿宋_GB2312" w:eastAsia="仿宋_GB2312" w:cs="仿宋_GB2312"/>
        </w:rPr>
        <w:t>。增长的主要原因是工资调整，人员经费支出增加及大楼搬迁，物业管理费支出增加。</w:t>
      </w:r>
    </w:p>
    <w:p>
      <w:pPr>
        <w:spacing w:line="550" w:lineRule="exact"/>
        <w:ind w:firstLine="643" w:firstLineChars="200"/>
        <w:rPr>
          <w:rFonts w:ascii="仿宋_GB2312" w:hAnsi="仿宋_GB2312" w:eastAsia="仿宋_GB2312"/>
          <w:b/>
          <w:bCs/>
        </w:rPr>
      </w:pPr>
      <w:r>
        <w:rPr>
          <w:rFonts w:hint="eastAsia" w:ascii="仿宋_GB2312" w:hAnsi="仿宋_GB2312" w:eastAsia="仿宋_GB2312" w:cs="仿宋_GB2312"/>
          <w:b/>
          <w:bCs/>
        </w:rPr>
        <w:t>五、财政拨款支出决算情况说明</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财政拨款支出决算反映的是一般公共预算和政府性基金预算财政拨款支出的总体情况，既包括使用本年从本级财政取得的拨款发生的支出，也包括使用上年度财政拨款结转和结余资金发生的支出。</w:t>
      </w:r>
      <w:r>
        <w:rPr>
          <w:rFonts w:hint="eastAsia" w:ascii="仿宋_GB2312" w:hAnsi="仿宋_GB2312" w:eastAsia="仿宋_GB2312" w:cs="仿宋_GB2312"/>
          <w:u w:val="single"/>
        </w:rPr>
        <w:t>海安市人民检察院</w:t>
      </w:r>
      <w:r>
        <w:rPr>
          <w:rFonts w:ascii="仿宋_GB2312" w:hAnsi="仿宋_GB2312" w:eastAsia="仿宋_GB2312" w:cs="仿宋_GB2312"/>
        </w:rPr>
        <w:t>2017</w:t>
      </w:r>
      <w:r>
        <w:rPr>
          <w:rFonts w:hint="eastAsia" w:ascii="仿宋_GB2312" w:hAnsi="仿宋_GB2312" w:eastAsia="仿宋_GB2312" w:cs="仿宋_GB2312"/>
        </w:rPr>
        <w:t>年财政拨款支出</w:t>
      </w:r>
      <w:r>
        <w:rPr>
          <w:rFonts w:ascii="仿宋_GB2312" w:hAnsi="仿宋_GB2312" w:eastAsia="仿宋_GB2312" w:cs="仿宋_GB2312"/>
          <w:u w:val="single"/>
        </w:rPr>
        <w:t xml:space="preserve">  3450.00 </w:t>
      </w:r>
      <w:r>
        <w:rPr>
          <w:rFonts w:hint="eastAsia" w:ascii="仿宋_GB2312" w:hAnsi="仿宋_GB2312" w:eastAsia="仿宋_GB2312" w:cs="仿宋_GB2312"/>
        </w:rPr>
        <w:t>万元，占本年支出合计的</w:t>
      </w:r>
      <w:r>
        <w:rPr>
          <w:rFonts w:ascii="仿宋_GB2312" w:hAnsi="仿宋_GB2312" w:eastAsia="仿宋_GB2312" w:cs="仿宋_GB2312"/>
          <w:u w:val="single"/>
        </w:rPr>
        <w:t xml:space="preserve"> 95.89  </w:t>
      </w:r>
      <w:r>
        <w:rPr>
          <w:rFonts w:ascii="仿宋_GB2312" w:hAnsi="仿宋_GB2312" w:eastAsia="仿宋_GB2312" w:cs="仿宋_GB2312"/>
        </w:rPr>
        <w:t>%</w:t>
      </w:r>
      <w:r>
        <w:rPr>
          <w:rFonts w:hint="eastAsia" w:ascii="仿宋_GB2312" w:hAnsi="仿宋_GB2312" w:eastAsia="仿宋_GB2312" w:cs="仿宋_GB2312"/>
        </w:rPr>
        <w:t>。与上年相比，财政拨款支出增加</w:t>
      </w:r>
      <w:r>
        <w:rPr>
          <w:rFonts w:ascii="仿宋_GB2312" w:hAnsi="仿宋_GB2312" w:eastAsia="仿宋_GB2312" w:cs="仿宋_GB2312"/>
          <w:u w:val="single"/>
        </w:rPr>
        <w:t xml:space="preserve">  356.81 </w:t>
      </w:r>
      <w:r>
        <w:rPr>
          <w:rFonts w:hint="eastAsia" w:ascii="仿宋_GB2312" w:hAnsi="仿宋_GB2312" w:eastAsia="仿宋_GB2312" w:cs="仿宋_GB2312"/>
        </w:rPr>
        <w:t>万元，增长</w:t>
      </w:r>
      <w:r>
        <w:rPr>
          <w:rFonts w:ascii="仿宋_GB2312" w:hAnsi="仿宋_GB2312" w:eastAsia="仿宋_GB2312" w:cs="仿宋_GB2312"/>
          <w:u w:val="single"/>
        </w:rPr>
        <w:t xml:space="preserve"> 11.54  </w:t>
      </w:r>
      <w:r>
        <w:rPr>
          <w:rFonts w:ascii="仿宋_GB2312" w:hAnsi="仿宋_GB2312" w:eastAsia="仿宋_GB2312" w:cs="仿宋_GB2312"/>
        </w:rPr>
        <w:t>%</w:t>
      </w:r>
      <w:r>
        <w:rPr>
          <w:rFonts w:hint="eastAsia" w:ascii="仿宋_GB2312" w:hAnsi="仿宋_GB2312" w:eastAsia="仿宋_GB2312" w:cs="仿宋_GB2312"/>
        </w:rPr>
        <w:t>。主要原因是工资调整，人员经费支出增加以及大楼搬迁，物业管理费支出增加。</w:t>
      </w:r>
    </w:p>
    <w:p>
      <w:pPr>
        <w:spacing w:line="550" w:lineRule="exact"/>
        <w:ind w:firstLine="640" w:firstLineChars="200"/>
        <w:rPr>
          <w:rFonts w:ascii="仿宋_GB2312" w:hAnsi="仿宋_GB2312" w:eastAsia="仿宋_GB2312" w:cs="仿宋_GB2312"/>
        </w:rPr>
      </w:pPr>
      <w:r>
        <w:rPr>
          <w:rFonts w:hint="eastAsia" w:ascii="仿宋_GB2312" w:hAnsi="仿宋_GB2312" w:eastAsia="仿宋_GB2312" w:cs="仿宋_GB2312"/>
          <w:u w:val="single"/>
        </w:rPr>
        <w:t>海安市人民检察院</w:t>
      </w:r>
      <w:r>
        <w:rPr>
          <w:rFonts w:ascii="仿宋_GB2312" w:hAnsi="仿宋_GB2312" w:eastAsia="仿宋_GB2312" w:cs="仿宋_GB2312"/>
        </w:rPr>
        <w:t>2017</w:t>
      </w:r>
      <w:r>
        <w:rPr>
          <w:rFonts w:hint="eastAsia" w:ascii="仿宋_GB2312" w:hAnsi="仿宋_GB2312" w:eastAsia="仿宋_GB2312" w:cs="仿宋_GB2312"/>
        </w:rPr>
        <w:t>年度财政拨款支出年初预算为</w:t>
      </w:r>
      <w:r>
        <w:rPr>
          <w:rFonts w:ascii="仿宋_GB2312" w:hAnsi="仿宋_GB2312" w:eastAsia="仿宋_GB2312" w:cs="仿宋_GB2312"/>
          <w:u w:val="single"/>
        </w:rPr>
        <w:t xml:space="preserve">    2751.80</w:t>
      </w:r>
      <w:r>
        <w:rPr>
          <w:rFonts w:hint="eastAsia" w:ascii="仿宋_GB2312" w:hAnsi="仿宋_GB2312" w:eastAsia="仿宋_GB2312" w:cs="仿宋_GB2312"/>
        </w:rPr>
        <w:t>万元，支出决算为</w:t>
      </w:r>
      <w:r>
        <w:rPr>
          <w:rFonts w:ascii="仿宋_GB2312" w:hAnsi="仿宋_GB2312" w:eastAsia="仿宋_GB2312" w:cs="仿宋_GB2312"/>
          <w:u w:val="single"/>
        </w:rPr>
        <w:t xml:space="preserve"> 3450.00 </w:t>
      </w:r>
      <w:r>
        <w:rPr>
          <w:rFonts w:hint="eastAsia" w:ascii="仿宋_GB2312" w:hAnsi="仿宋_GB2312" w:eastAsia="仿宋_GB2312" w:cs="仿宋_GB2312"/>
        </w:rPr>
        <w:t>万元，完成年初预算的</w:t>
      </w:r>
      <w:r>
        <w:rPr>
          <w:rFonts w:ascii="仿宋_GB2312" w:hAnsi="仿宋_GB2312" w:eastAsia="仿宋_GB2312" w:cs="仿宋_GB2312"/>
          <w:u w:val="single"/>
        </w:rPr>
        <w:t xml:space="preserve"> 125.37 </w:t>
      </w:r>
      <w:r>
        <w:rPr>
          <w:rFonts w:ascii="仿宋_GB2312" w:hAnsi="仿宋_GB2312" w:eastAsia="仿宋_GB2312" w:cs="仿宋_GB2312"/>
        </w:rPr>
        <w:t>%</w:t>
      </w:r>
      <w:r>
        <w:rPr>
          <w:rFonts w:hint="eastAsia" w:ascii="仿宋_GB2312" w:hAnsi="仿宋_GB2312" w:eastAsia="仿宋_GB2312" w:cs="仿宋_GB2312"/>
        </w:rPr>
        <w:t>。决算数大于年初预算的主要原因是工资调整，人员经费支出增加以及大楼搬迁，物业管理费支出增加。其中：</w:t>
      </w:r>
      <w:r>
        <w:rPr>
          <w:rFonts w:ascii="仿宋_GB2312" w:hAnsi="仿宋_GB2312" w:eastAsia="仿宋_GB2312" w:cs="仿宋_GB2312"/>
        </w:rPr>
        <w:t xml:space="preserve"> </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（一）公共安全（类）</w:t>
      </w:r>
    </w:p>
    <w:p>
      <w:pPr>
        <w:spacing w:line="550" w:lineRule="exact"/>
        <w:ind w:firstLine="640" w:firstLineChars="200"/>
        <w:rPr>
          <w:rFonts w:ascii="仿宋_GB2312" w:hAnsi="仿宋_GB2312" w:eastAsia="仿宋_GB2312"/>
        </w:rPr>
      </w:pPr>
      <w:r>
        <w:rPr>
          <w:rFonts w:ascii="仿宋_GB2312" w:hAnsi="仿宋_GB2312" w:eastAsia="仿宋_GB2312" w:cs="仿宋_GB2312"/>
        </w:rPr>
        <w:t>1</w:t>
      </w:r>
      <w:r>
        <w:rPr>
          <w:rFonts w:hint="eastAsia" w:ascii="仿宋_GB2312" w:hAnsi="仿宋_GB2312" w:eastAsia="仿宋_GB2312" w:cs="仿宋_GB2312"/>
        </w:rPr>
        <w:t>．检察（款）行政运行（项）。年初预算为</w:t>
      </w:r>
      <w:r>
        <w:rPr>
          <w:rFonts w:ascii="仿宋_GB2312" w:hAnsi="仿宋_GB2312" w:eastAsia="仿宋_GB2312" w:cs="仿宋_GB2312"/>
          <w:u w:val="single"/>
        </w:rPr>
        <w:t xml:space="preserve"> 1729.82 </w:t>
      </w:r>
      <w:r>
        <w:rPr>
          <w:rFonts w:hint="eastAsia" w:ascii="仿宋_GB2312" w:hAnsi="仿宋_GB2312" w:eastAsia="仿宋_GB2312" w:cs="仿宋_GB2312"/>
        </w:rPr>
        <w:t>万元，支出决算为</w:t>
      </w:r>
      <w:r>
        <w:rPr>
          <w:rFonts w:ascii="仿宋_GB2312" w:hAnsi="仿宋_GB2312" w:eastAsia="仿宋_GB2312" w:cs="仿宋_GB2312"/>
          <w:u w:val="single"/>
        </w:rPr>
        <w:t>1757.95</w:t>
      </w:r>
      <w:r>
        <w:rPr>
          <w:rFonts w:hint="eastAsia" w:ascii="仿宋_GB2312" w:hAnsi="仿宋_GB2312" w:eastAsia="仿宋_GB2312" w:cs="仿宋_GB2312"/>
        </w:rPr>
        <w:t>万元，完成年初预算的</w:t>
      </w:r>
      <w:r>
        <w:rPr>
          <w:rFonts w:ascii="仿宋_GB2312" w:hAnsi="仿宋_GB2312" w:eastAsia="仿宋_GB2312" w:cs="仿宋_GB2312"/>
          <w:u w:val="single"/>
        </w:rPr>
        <w:t xml:space="preserve"> 101.63 </w:t>
      </w:r>
      <w:r>
        <w:rPr>
          <w:rFonts w:ascii="仿宋_GB2312" w:hAnsi="仿宋_GB2312" w:eastAsia="仿宋_GB2312" w:cs="仿宋_GB2312"/>
        </w:rPr>
        <w:t>%</w:t>
      </w:r>
      <w:r>
        <w:rPr>
          <w:rFonts w:hint="eastAsia" w:ascii="仿宋_GB2312" w:hAnsi="仿宋_GB2312" w:eastAsia="仿宋_GB2312" w:cs="仿宋_GB2312"/>
        </w:rPr>
        <w:t>。决算数大于预算数的主要原因工资调整，人员经费支出增加。</w:t>
      </w:r>
    </w:p>
    <w:p>
      <w:pPr>
        <w:spacing w:line="550" w:lineRule="exact"/>
        <w:ind w:firstLine="640" w:firstLineChars="200"/>
        <w:rPr>
          <w:rFonts w:ascii="仿宋_GB2312" w:hAnsi="仿宋_GB2312" w:eastAsia="仿宋_GB2312"/>
        </w:rPr>
      </w:pPr>
      <w:r>
        <w:rPr>
          <w:rFonts w:ascii="仿宋_GB2312" w:hAnsi="仿宋_GB2312" w:eastAsia="仿宋_GB2312" w:cs="仿宋_GB2312"/>
        </w:rPr>
        <w:t>2</w:t>
      </w:r>
      <w:r>
        <w:rPr>
          <w:rFonts w:hint="eastAsia" w:ascii="仿宋_GB2312" w:hAnsi="仿宋_GB2312" w:eastAsia="仿宋_GB2312" w:cs="仿宋_GB2312"/>
        </w:rPr>
        <w:t>．检察（款）一般行政管理事务（项）。年初预算为</w:t>
      </w:r>
      <w:r>
        <w:rPr>
          <w:rFonts w:ascii="仿宋_GB2312" w:hAnsi="仿宋_GB2312" w:eastAsia="仿宋_GB2312" w:cs="仿宋_GB2312"/>
          <w:u w:val="single"/>
        </w:rPr>
        <w:t xml:space="preserve"> 278.40 </w:t>
      </w:r>
      <w:r>
        <w:rPr>
          <w:rFonts w:hint="eastAsia" w:ascii="仿宋_GB2312" w:hAnsi="仿宋_GB2312" w:eastAsia="仿宋_GB2312" w:cs="仿宋_GB2312"/>
        </w:rPr>
        <w:t>万元，支出决算为</w:t>
      </w:r>
      <w:r>
        <w:rPr>
          <w:rFonts w:ascii="仿宋_GB2312" w:hAnsi="仿宋_GB2312" w:eastAsia="仿宋_GB2312" w:cs="仿宋_GB2312"/>
          <w:u w:val="single"/>
        </w:rPr>
        <w:t>502.95</w:t>
      </w:r>
      <w:r>
        <w:rPr>
          <w:rFonts w:hint="eastAsia" w:ascii="仿宋_GB2312" w:hAnsi="仿宋_GB2312" w:eastAsia="仿宋_GB2312" w:cs="仿宋_GB2312"/>
        </w:rPr>
        <w:t>万元，完成年初预算的</w:t>
      </w:r>
      <w:r>
        <w:rPr>
          <w:rFonts w:ascii="仿宋_GB2312" w:hAnsi="仿宋_GB2312" w:eastAsia="仿宋_GB2312" w:cs="仿宋_GB2312"/>
          <w:u w:val="single"/>
        </w:rPr>
        <w:t xml:space="preserve"> 180.66 </w:t>
      </w:r>
      <w:r>
        <w:rPr>
          <w:rFonts w:ascii="仿宋_GB2312" w:hAnsi="仿宋_GB2312" w:eastAsia="仿宋_GB2312" w:cs="仿宋_GB2312"/>
        </w:rPr>
        <w:t>%</w:t>
      </w:r>
      <w:r>
        <w:rPr>
          <w:rFonts w:hint="eastAsia" w:ascii="仿宋_GB2312" w:hAnsi="仿宋_GB2312" w:eastAsia="仿宋_GB2312" w:cs="仿宋_GB2312"/>
        </w:rPr>
        <w:t>。决算数大于预算数的主要原因是工资调整，财政追加工资福利支出指标。</w:t>
      </w:r>
    </w:p>
    <w:p>
      <w:pPr>
        <w:spacing w:line="550" w:lineRule="exact"/>
        <w:ind w:firstLine="640" w:firstLineChars="200"/>
        <w:rPr>
          <w:rFonts w:ascii="仿宋_GB2312" w:hAnsi="仿宋_GB2312" w:eastAsia="仿宋_GB2312"/>
        </w:rPr>
      </w:pPr>
      <w:r>
        <w:rPr>
          <w:rFonts w:ascii="仿宋_GB2312" w:hAnsi="仿宋_GB2312" w:eastAsia="仿宋_GB2312" w:cs="仿宋_GB2312"/>
        </w:rPr>
        <w:t>3</w:t>
      </w:r>
      <w:r>
        <w:rPr>
          <w:rFonts w:hint="eastAsia" w:ascii="仿宋_GB2312" w:hAnsi="仿宋_GB2312" w:eastAsia="仿宋_GB2312" w:cs="仿宋_GB2312"/>
        </w:rPr>
        <w:t>．检察（款）查办和预防职务犯罪（项）。年初预算为</w:t>
      </w:r>
      <w:r>
        <w:rPr>
          <w:rFonts w:ascii="仿宋_GB2312" w:hAnsi="仿宋_GB2312" w:eastAsia="仿宋_GB2312" w:cs="仿宋_GB2312"/>
          <w:u w:val="single"/>
        </w:rPr>
        <w:t xml:space="preserve"> 468.08 </w:t>
      </w:r>
      <w:r>
        <w:rPr>
          <w:rFonts w:hint="eastAsia" w:ascii="仿宋_GB2312" w:hAnsi="仿宋_GB2312" w:eastAsia="仿宋_GB2312" w:cs="仿宋_GB2312"/>
        </w:rPr>
        <w:t>万元，支出决算为</w:t>
      </w:r>
      <w:r>
        <w:rPr>
          <w:rFonts w:ascii="仿宋_GB2312" w:hAnsi="仿宋_GB2312" w:eastAsia="仿宋_GB2312" w:cs="仿宋_GB2312"/>
          <w:u w:val="single"/>
        </w:rPr>
        <w:t>388.08</w:t>
      </w:r>
      <w:r>
        <w:rPr>
          <w:rFonts w:hint="eastAsia" w:ascii="仿宋_GB2312" w:hAnsi="仿宋_GB2312" w:eastAsia="仿宋_GB2312" w:cs="仿宋_GB2312"/>
        </w:rPr>
        <w:t>万元，完成年初预算的</w:t>
      </w:r>
      <w:r>
        <w:rPr>
          <w:rFonts w:ascii="仿宋_GB2312" w:hAnsi="仿宋_GB2312" w:eastAsia="仿宋_GB2312" w:cs="仿宋_GB2312"/>
          <w:u w:val="single"/>
        </w:rPr>
        <w:t xml:space="preserve"> 82.91 </w:t>
      </w:r>
      <w:r>
        <w:rPr>
          <w:rFonts w:ascii="仿宋_GB2312" w:hAnsi="仿宋_GB2312" w:eastAsia="仿宋_GB2312" w:cs="仿宋_GB2312"/>
        </w:rPr>
        <w:t>%</w:t>
      </w:r>
      <w:r>
        <w:rPr>
          <w:rFonts w:hint="eastAsia" w:ascii="仿宋_GB2312" w:hAnsi="仿宋_GB2312" w:eastAsia="仿宋_GB2312" w:cs="仿宋_GB2312"/>
        </w:rPr>
        <w:t>。决算数小于预算数的主要原因在于年初预算的省政法转移支付办案经费</w:t>
      </w:r>
      <w:r>
        <w:rPr>
          <w:rFonts w:ascii="仿宋_GB2312" w:hAnsi="仿宋_GB2312" w:eastAsia="仿宋_GB2312" w:cs="仿宋_GB2312"/>
        </w:rPr>
        <w:t>80</w:t>
      </w:r>
      <w:r>
        <w:rPr>
          <w:rFonts w:hint="eastAsia" w:ascii="仿宋_GB2312" w:hAnsi="仿宋_GB2312" w:eastAsia="仿宋_GB2312" w:cs="仿宋_GB2312"/>
        </w:rPr>
        <w:t>万元，财政拨付时未在该功能科目下达，而是通过其他检察支出（项）下达指标的。</w:t>
      </w:r>
    </w:p>
    <w:p>
      <w:pPr>
        <w:spacing w:line="550" w:lineRule="exact"/>
        <w:ind w:firstLine="640" w:firstLineChars="200"/>
        <w:rPr>
          <w:rFonts w:ascii="仿宋_GB2312" w:hAnsi="仿宋_GB2312" w:eastAsia="仿宋_GB2312"/>
        </w:rPr>
      </w:pPr>
      <w:r>
        <w:rPr>
          <w:rFonts w:ascii="仿宋_GB2312" w:hAnsi="仿宋_GB2312" w:eastAsia="仿宋_GB2312" w:cs="仿宋_GB2312"/>
        </w:rPr>
        <w:t>4</w:t>
      </w:r>
      <w:r>
        <w:rPr>
          <w:rFonts w:hint="eastAsia" w:ascii="仿宋_GB2312" w:hAnsi="仿宋_GB2312" w:eastAsia="仿宋_GB2312" w:cs="仿宋_GB2312"/>
        </w:rPr>
        <w:t>．检察（款）公诉和审判监督（项）。年初预算为</w:t>
      </w:r>
      <w:r>
        <w:rPr>
          <w:rFonts w:ascii="仿宋_GB2312" w:hAnsi="仿宋_GB2312" w:eastAsia="仿宋_GB2312" w:cs="仿宋_GB2312"/>
          <w:u w:val="single"/>
        </w:rPr>
        <w:t xml:space="preserve"> 5.30 </w:t>
      </w:r>
      <w:r>
        <w:rPr>
          <w:rFonts w:hint="eastAsia" w:ascii="仿宋_GB2312" w:hAnsi="仿宋_GB2312" w:eastAsia="仿宋_GB2312" w:cs="仿宋_GB2312"/>
        </w:rPr>
        <w:t>万元，支出决算为</w:t>
      </w:r>
      <w:r>
        <w:rPr>
          <w:rFonts w:ascii="仿宋_GB2312" w:hAnsi="仿宋_GB2312" w:eastAsia="仿宋_GB2312" w:cs="仿宋_GB2312"/>
          <w:u w:val="single"/>
        </w:rPr>
        <w:t>5.30</w:t>
      </w:r>
      <w:r>
        <w:rPr>
          <w:rFonts w:hint="eastAsia" w:ascii="仿宋_GB2312" w:hAnsi="仿宋_GB2312" w:eastAsia="仿宋_GB2312" w:cs="仿宋_GB2312"/>
        </w:rPr>
        <w:t>万元，完成年初预算的</w:t>
      </w:r>
      <w:r>
        <w:rPr>
          <w:rFonts w:ascii="仿宋_GB2312" w:hAnsi="仿宋_GB2312" w:eastAsia="仿宋_GB2312" w:cs="仿宋_GB2312"/>
          <w:u w:val="single"/>
        </w:rPr>
        <w:t xml:space="preserve">100.00 </w:t>
      </w:r>
      <w:r>
        <w:rPr>
          <w:rFonts w:ascii="仿宋_GB2312" w:hAnsi="仿宋_GB2312" w:eastAsia="仿宋_GB2312" w:cs="仿宋_GB2312"/>
        </w:rPr>
        <w:t>%</w:t>
      </w:r>
      <w:r>
        <w:rPr>
          <w:rFonts w:hint="eastAsia" w:ascii="仿宋_GB2312" w:hAnsi="仿宋_GB2312" w:eastAsia="仿宋_GB2312" w:cs="仿宋_GB2312"/>
        </w:rPr>
        <w:t>。决算数等于预算数。</w:t>
      </w:r>
    </w:p>
    <w:p>
      <w:pPr>
        <w:spacing w:line="550" w:lineRule="exact"/>
        <w:ind w:firstLine="640" w:firstLineChars="200"/>
        <w:rPr>
          <w:rFonts w:ascii="仿宋_GB2312" w:hAnsi="仿宋_GB2312" w:eastAsia="仿宋_GB2312"/>
        </w:rPr>
      </w:pPr>
      <w:r>
        <w:rPr>
          <w:rFonts w:ascii="仿宋_GB2312" w:hAnsi="仿宋_GB2312" w:eastAsia="仿宋_GB2312" w:cs="仿宋_GB2312"/>
        </w:rPr>
        <w:t>5</w:t>
      </w:r>
      <w:r>
        <w:rPr>
          <w:rFonts w:hint="eastAsia" w:ascii="仿宋_GB2312" w:hAnsi="仿宋_GB2312" w:eastAsia="仿宋_GB2312" w:cs="仿宋_GB2312"/>
        </w:rPr>
        <w:t>．检察（款）控告申诉（项）。年初预算为</w:t>
      </w:r>
      <w:r>
        <w:rPr>
          <w:rFonts w:ascii="仿宋_GB2312" w:hAnsi="仿宋_GB2312" w:eastAsia="仿宋_GB2312" w:cs="仿宋_GB2312"/>
          <w:u w:val="single"/>
        </w:rPr>
        <w:t xml:space="preserve"> 10 </w:t>
      </w:r>
      <w:r>
        <w:rPr>
          <w:rFonts w:hint="eastAsia" w:ascii="仿宋_GB2312" w:hAnsi="仿宋_GB2312" w:eastAsia="仿宋_GB2312" w:cs="仿宋_GB2312"/>
        </w:rPr>
        <w:t>万元，支出决算为</w:t>
      </w:r>
      <w:r>
        <w:rPr>
          <w:rFonts w:ascii="仿宋_GB2312" w:hAnsi="仿宋_GB2312" w:eastAsia="仿宋_GB2312" w:cs="仿宋_GB2312"/>
          <w:u w:val="single"/>
        </w:rPr>
        <w:t>6.60</w:t>
      </w:r>
      <w:r>
        <w:rPr>
          <w:rFonts w:hint="eastAsia" w:ascii="仿宋_GB2312" w:hAnsi="仿宋_GB2312" w:eastAsia="仿宋_GB2312" w:cs="仿宋_GB2312"/>
        </w:rPr>
        <w:t>万元，完成年初预算的</w:t>
      </w:r>
      <w:r>
        <w:rPr>
          <w:rFonts w:ascii="仿宋_GB2312" w:hAnsi="仿宋_GB2312" w:eastAsia="仿宋_GB2312" w:cs="仿宋_GB2312"/>
          <w:u w:val="single"/>
        </w:rPr>
        <w:t xml:space="preserve"> 66.00 </w:t>
      </w:r>
      <w:r>
        <w:rPr>
          <w:rFonts w:ascii="仿宋_GB2312" w:hAnsi="仿宋_GB2312" w:eastAsia="仿宋_GB2312" w:cs="仿宋_GB2312"/>
        </w:rPr>
        <w:t>%</w:t>
      </w:r>
      <w:r>
        <w:rPr>
          <w:rFonts w:hint="eastAsia" w:ascii="仿宋_GB2312" w:hAnsi="仿宋_GB2312" w:eastAsia="仿宋_GB2312" w:cs="仿宋_GB2312"/>
        </w:rPr>
        <w:t>。决算数小于预算数的主要原因本年按实发放的刑事被害人救助金为</w:t>
      </w:r>
      <w:r>
        <w:rPr>
          <w:rFonts w:ascii="仿宋_GB2312" w:hAnsi="仿宋_GB2312" w:eastAsia="仿宋_GB2312" w:cs="仿宋_GB2312"/>
        </w:rPr>
        <w:t>6.6</w:t>
      </w:r>
      <w:r>
        <w:rPr>
          <w:rFonts w:hint="eastAsia" w:ascii="仿宋_GB2312" w:hAnsi="仿宋_GB2312" w:eastAsia="仿宋_GB2312" w:cs="仿宋_GB2312"/>
        </w:rPr>
        <w:t>万元。</w:t>
      </w:r>
    </w:p>
    <w:p>
      <w:pPr>
        <w:spacing w:line="550" w:lineRule="exact"/>
        <w:ind w:firstLine="640" w:firstLineChars="200"/>
        <w:rPr>
          <w:rFonts w:ascii="仿宋_GB2312" w:hAnsi="仿宋_GB2312" w:eastAsia="仿宋_GB2312"/>
        </w:rPr>
      </w:pPr>
      <w:r>
        <w:rPr>
          <w:rFonts w:ascii="仿宋_GB2312" w:hAnsi="仿宋_GB2312" w:eastAsia="仿宋_GB2312" w:cs="仿宋_GB2312"/>
        </w:rPr>
        <w:t>6</w:t>
      </w:r>
      <w:r>
        <w:rPr>
          <w:rFonts w:hint="eastAsia" w:ascii="仿宋_GB2312" w:hAnsi="仿宋_GB2312" w:eastAsia="仿宋_GB2312" w:cs="仿宋_GB2312"/>
        </w:rPr>
        <w:t>．检察（款）两房建设（项）。年初预算为</w:t>
      </w:r>
      <w:r>
        <w:rPr>
          <w:rFonts w:ascii="仿宋_GB2312" w:hAnsi="仿宋_GB2312" w:eastAsia="仿宋_GB2312" w:cs="仿宋_GB2312"/>
          <w:u w:val="single"/>
        </w:rPr>
        <w:t xml:space="preserve"> 100.00 </w:t>
      </w:r>
      <w:r>
        <w:rPr>
          <w:rFonts w:hint="eastAsia" w:ascii="仿宋_GB2312" w:hAnsi="仿宋_GB2312" w:eastAsia="仿宋_GB2312" w:cs="仿宋_GB2312"/>
        </w:rPr>
        <w:t>万元，支出决算为</w:t>
      </w:r>
      <w:r>
        <w:rPr>
          <w:rFonts w:ascii="仿宋_GB2312" w:hAnsi="仿宋_GB2312" w:eastAsia="仿宋_GB2312" w:cs="仿宋_GB2312"/>
          <w:u w:val="single"/>
        </w:rPr>
        <w:t>100.00</w:t>
      </w:r>
      <w:r>
        <w:rPr>
          <w:rFonts w:hint="eastAsia" w:ascii="仿宋_GB2312" w:hAnsi="仿宋_GB2312" w:eastAsia="仿宋_GB2312" w:cs="仿宋_GB2312"/>
        </w:rPr>
        <w:t>万元，完成年初预算的</w:t>
      </w:r>
      <w:r>
        <w:rPr>
          <w:rFonts w:ascii="仿宋_GB2312" w:hAnsi="仿宋_GB2312" w:eastAsia="仿宋_GB2312" w:cs="仿宋_GB2312"/>
          <w:u w:val="single"/>
        </w:rPr>
        <w:t xml:space="preserve">100.00 </w:t>
      </w:r>
      <w:r>
        <w:rPr>
          <w:rFonts w:ascii="仿宋_GB2312" w:hAnsi="仿宋_GB2312" w:eastAsia="仿宋_GB2312" w:cs="仿宋_GB2312"/>
        </w:rPr>
        <w:t>%</w:t>
      </w:r>
      <w:r>
        <w:rPr>
          <w:rFonts w:hint="eastAsia" w:ascii="仿宋_GB2312" w:hAnsi="仿宋_GB2312" w:eastAsia="仿宋_GB2312" w:cs="仿宋_GB2312"/>
        </w:rPr>
        <w:t>。决算数等于预算数。</w:t>
      </w:r>
    </w:p>
    <w:p>
      <w:pPr>
        <w:spacing w:line="550" w:lineRule="exact"/>
        <w:ind w:firstLine="640" w:firstLineChars="200"/>
        <w:rPr>
          <w:rFonts w:ascii="仿宋_GB2312" w:hAnsi="仿宋_GB2312" w:eastAsia="仿宋_GB2312"/>
        </w:rPr>
      </w:pPr>
      <w:r>
        <w:rPr>
          <w:rFonts w:ascii="仿宋_GB2312" w:hAnsi="仿宋_GB2312" w:eastAsia="仿宋_GB2312" w:cs="仿宋_GB2312"/>
        </w:rPr>
        <w:t>7</w:t>
      </w:r>
      <w:r>
        <w:rPr>
          <w:rFonts w:hint="eastAsia" w:ascii="仿宋_GB2312" w:hAnsi="仿宋_GB2312" w:eastAsia="仿宋_GB2312" w:cs="仿宋_GB2312"/>
        </w:rPr>
        <w:t>．检察（款）其他检察支出（项）。年初预算为</w:t>
      </w:r>
      <w:r>
        <w:rPr>
          <w:rFonts w:ascii="仿宋_GB2312" w:hAnsi="仿宋_GB2312" w:eastAsia="仿宋_GB2312" w:cs="仿宋_GB2312"/>
          <w:u w:val="single"/>
        </w:rPr>
        <w:t xml:space="preserve"> 160.20 </w:t>
      </w:r>
      <w:r>
        <w:rPr>
          <w:rFonts w:hint="eastAsia" w:ascii="仿宋_GB2312" w:hAnsi="仿宋_GB2312" w:eastAsia="仿宋_GB2312" w:cs="仿宋_GB2312"/>
        </w:rPr>
        <w:t>万元，支出决算为</w:t>
      </w:r>
      <w:r>
        <w:rPr>
          <w:rFonts w:ascii="仿宋_GB2312" w:hAnsi="仿宋_GB2312" w:eastAsia="仿宋_GB2312" w:cs="仿宋_GB2312"/>
        </w:rPr>
        <w:t>367.78</w:t>
      </w:r>
      <w:r>
        <w:rPr>
          <w:rFonts w:hint="eastAsia" w:ascii="仿宋_GB2312" w:hAnsi="仿宋_GB2312" w:eastAsia="仿宋_GB2312" w:cs="仿宋_GB2312"/>
        </w:rPr>
        <w:t>万元，完成年初预算的</w:t>
      </w:r>
      <w:r>
        <w:rPr>
          <w:rFonts w:ascii="仿宋_GB2312" w:hAnsi="仿宋_GB2312" w:eastAsia="仿宋_GB2312" w:cs="仿宋_GB2312"/>
        </w:rPr>
        <w:t xml:space="preserve"> </w:t>
      </w:r>
      <w:r>
        <w:rPr>
          <w:rFonts w:ascii="仿宋_GB2312" w:hAnsi="仿宋_GB2312" w:eastAsia="仿宋_GB2312" w:cs="仿宋_GB2312"/>
          <w:u w:val="single"/>
        </w:rPr>
        <w:t>229.57 %</w:t>
      </w:r>
      <w:r>
        <w:rPr>
          <w:rFonts w:hint="eastAsia" w:ascii="仿宋_GB2312" w:hAnsi="仿宋_GB2312" w:eastAsia="仿宋_GB2312" w:cs="仿宋_GB2312"/>
        </w:rPr>
        <w:t>。决算数大于预算数的主要原因在于年初预算的省政法转移支付办案经费</w:t>
      </w:r>
      <w:r>
        <w:rPr>
          <w:rFonts w:ascii="仿宋_GB2312" w:hAnsi="仿宋_GB2312" w:eastAsia="仿宋_GB2312" w:cs="仿宋_GB2312"/>
        </w:rPr>
        <w:t>80</w:t>
      </w:r>
      <w:r>
        <w:rPr>
          <w:rFonts w:hint="eastAsia" w:ascii="仿宋_GB2312" w:hAnsi="仿宋_GB2312" w:eastAsia="仿宋_GB2312" w:cs="仿宋_GB2312"/>
        </w:rPr>
        <w:t>万元，财政通过该功能科目下达，以及财政通过财政预留资金安排</w:t>
      </w:r>
      <w:r>
        <w:rPr>
          <w:rFonts w:ascii="仿宋_GB2312" w:hAnsi="仿宋_GB2312" w:eastAsia="仿宋_GB2312" w:cs="仿宋_GB2312"/>
        </w:rPr>
        <w:t>120.80</w:t>
      </w:r>
      <w:r>
        <w:rPr>
          <w:rFonts w:hint="eastAsia" w:ascii="仿宋_GB2312" w:hAnsi="仿宋_GB2312" w:eastAsia="仿宋_GB2312" w:cs="仿宋_GB2312"/>
        </w:rPr>
        <w:t>万元大楼物业管理费。</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（二）社会保障和就业支出（类）</w:t>
      </w:r>
    </w:p>
    <w:p>
      <w:pPr>
        <w:spacing w:line="550" w:lineRule="exact"/>
        <w:ind w:firstLine="640" w:firstLineChars="200"/>
        <w:rPr>
          <w:rFonts w:ascii="仿宋_GB2312" w:hAnsi="仿宋_GB2312" w:eastAsia="仿宋_GB2312"/>
        </w:rPr>
      </w:pPr>
      <w:r>
        <w:rPr>
          <w:rFonts w:ascii="仿宋_GB2312" w:hAnsi="仿宋_GB2312" w:eastAsia="仿宋_GB2312" w:cs="仿宋_GB2312"/>
        </w:rPr>
        <w:t>1</w:t>
      </w:r>
      <w:r>
        <w:rPr>
          <w:rFonts w:hint="eastAsia" w:ascii="仿宋_GB2312" w:hAnsi="仿宋_GB2312" w:eastAsia="仿宋_GB2312" w:cs="仿宋_GB2312"/>
        </w:rPr>
        <w:t>．行政事业单位离退休（款）机关事业单位基本养老保险缴费支出（项）。年初预算为</w:t>
      </w:r>
      <w:r>
        <w:rPr>
          <w:rFonts w:ascii="仿宋_GB2312" w:hAnsi="仿宋_GB2312" w:eastAsia="仿宋_GB2312" w:cs="仿宋_GB2312"/>
          <w:u w:val="single"/>
        </w:rPr>
        <w:t xml:space="preserve"> 0</w:t>
      </w:r>
      <w:r>
        <w:rPr>
          <w:rFonts w:hint="eastAsia" w:ascii="仿宋_GB2312" w:hAnsi="仿宋_GB2312" w:eastAsia="仿宋_GB2312" w:cs="仿宋_GB2312"/>
          <w:u w:val="single"/>
          <w:lang w:val="en-US" w:eastAsia="zh-CN"/>
        </w:rPr>
        <w:t xml:space="preserve"> </w:t>
      </w:r>
      <w:r>
        <w:rPr>
          <w:rFonts w:ascii="仿宋_GB2312" w:hAnsi="仿宋_GB2312" w:eastAsia="仿宋_GB2312" w:cs="仿宋_GB2312"/>
          <w:u w:val="single"/>
        </w:rPr>
        <w:t xml:space="preserve"> </w:t>
      </w:r>
      <w:r>
        <w:rPr>
          <w:rFonts w:hint="eastAsia" w:ascii="仿宋_GB2312" w:hAnsi="仿宋_GB2312" w:eastAsia="仿宋_GB2312" w:cs="仿宋_GB2312"/>
        </w:rPr>
        <w:t>万元，支出决算为</w:t>
      </w:r>
      <w:r>
        <w:rPr>
          <w:rFonts w:ascii="仿宋_GB2312" w:hAnsi="仿宋_GB2312" w:eastAsia="仿宋_GB2312" w:cs="仿宋_GB2312"/>
          <w:u w:val="single"/>
        </w:rPr>
        <w:t>145.41</w:t>
      </w:r>
      <w:r>
        <w:rPr>
          <w:rFonts w:hint="eastAsia" w:ascii="仿宋_GB2312" w:hAnsi="仿宋_GB2312" w:eastAsia="仿宋_GB2312" w:cs="仿宋_GB2312"/>
        </w:rPr>
        <w:t>万元。决算数大于预算数的主要原因在于年初预算基本养老保险费支出未单列，决算时根据要求进行了调整，将该项单独设立，与年初预算无法同口径比较。</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（三）住房保障支出（类）</w:t>
      </w:r>
    </w:p>
    <w:p>
      <w:pPr>
        <w:spacing w:line="550" w:lineRule="exact"/>
        <w:ind w:firstLine="640" w:firstLineChars="200"/>
        <w:rPr>
          <w:rFonts w:ascii="仿宋_GB2312" w:hAnsi="仿宋_GB2312" w:eastAsia="仿宋_GB2312"/>
        </w:rPr>
      </w:pPr>
      <w:r>
        <w:rPr>
          <w:rFonts w:ascii="仿宋_GB2312" w:hAnsi="仿宋_GB2312" w:eastAsia="仿宋_GB2312" w:cs="仿宋_GB2312"/>
        </w:rPr>
        <w:t>1</w:t>
      </w:r>
      <w:r>
        <w:rPr>
          <w:rFonts w:hint="eastAsia" w:ascii="仿宋_GB2312" w:hAnsi="仿宋_GB2312" w:eastAsia="仿宋_GB2312" w:cs="仿宋_GB2312"/>
        </w:rPr>
        <w:t>．住房改革支出（款）住房公积金（项）。年初预算为</w:t>
      </w:r>
      <w:r>
        <w:rPr>
          <w:rFonts w:ascii="仿宋_GB2312" w:hAnsi="仿宋_GB2312" w:eastAsia="仿宋_GB2312" w:cs="仿宋_GB2312"/>
          <w:u w:val="single"/>
        </w:rPr>
        <w:t xml:space="preserve"> 0</w:t>
      </w:r>
      <w:r>
        <w:rPr>
          <w:rFonts w:hint="eastAsia" w:ascii="仿宋_GB2312" w:hAnsi="仿宋_GB2312" w:eastAsia="仿宋_GB2312" w:cs="仿宋_GB2312"/>
          <w:u w:val="single"/>
          <w:lang w:val="en-US" w:eastAsia="zh-CN"/>
        </w:rPr>
        <w:t xml:space="preserve"> </w:t>
      </w:r>
      <w:r>
        <w:rPr>
          <w:rFonts w:ascii="仿宋_GB2312" w:hAnsi="仿宋_GB2312" w:eastAsia="仿宋_GB2312" w:cs="仿宋_GB2312"/>
          <w:u w:val="single"/>
        </w:rPr>
        <w:t xml:space="preserve"> </w:t>
      </w:r>
      <w:r>
        <w:rPr>
          <w:rFonts w:hint="eastAsia" w:ascii="仿宋_GB2312" w:hAnsi="仿宋_GB2312" w:eastAsia="仿宋_GB2312" w:cs="仿宋_GB2312"/>
        </w:rPr>
        <w:t>万元，支出决算为</w:t>
      </w:r>
      <w:r>
        <w:rPr>
          <w:rFonts w:ascii="仿宋_GB2312" w:hAnsi="仿宋_GB2312" w:eastAsia="仿宋_GB2312" w:cs="仿宋_GB2312"/>
          <w:u w:val="single"/>
        </w:rPr>
        <w:t>148.55</w:t>
      </w:r>
      <w:r>
        <w:rPr>
          <w:rFonts w:hint="eastAsia" w:ascii="仿宋_GB2312" w:hAnsi="仿宋_GB2312" w:eastAsia="仿宋_GB2312" w:cs="仿宋_GB2312"/>
        </w:rPr>
        <w:t>万元。决算数大于预算数的主要原因在于年初预算住房公积金支出未单列，决算时根据要求进行了调整，将该项单独设立，与年初预算无法同口径比较。</w:t>
      </w:r>
    </w:p>
    <w:p>
      <w:pPr>
        <w:spacing w:line="550" w:lineRule="exact"/>
        <w:ind w:firstLine="640" w:firstLineChars="200"/>
        <w:rPr>
          <w:rFonts w:ascii="仿宋_GB2312" w:hAnsi="仿宋_GB2312" w:eastAsia="仿宋_GB2312"/>
        </w:rPr>
      </w:pPr>
      <w:r>
        <w:rPr>
          <w:rFonts w:ascii="仿宋_GB2312" w:hAnsi="仿宋_GB2312" w:eastAsia="仿宋_GB2312" w:cs="仿宋_GB2312"/>
        </w:rPr>
        <w:t>2</w:t>
      </w:r>
      <w:r>
        <w:rPr>
          <w:rFonts w:hint="eastAsia" w:ascii="仿宋_GB2312" w:hAnsi="仿宋_GB2312" w:eastAsia="仿宋_GB2312" w:cs="仿宋_GB2312"/>
        </w:rPr>
        <w:t>．住房改革支出（款）提租补贴（项）。年初预算为</w:t>
      </w:r>
      <w:r>
        <w:rPr>
          <w:rFonts w:ascii="仿宋_GB2312" w:hAnsi="仿宋_GB2312" w:eastAsia="仿宋_GB2312" w:cs="仿宋_GB2312"/>
          <w:u w:val="single"/>
        </w:rPr>
        <w:t xml:space="preserve"> 0</w:t>
      </w:r>
      <w:r>
        <w:rPr>
          <w:rFonts w:hint="eastAsia" w:ascii="仿宋_GB2312" w:hAnsi="仿宋_GB2312" w:eastAsia="仿宋_GB2312" w:cs="仿宋_GB2312"/>
          <w:u w:val="single"/>
          <w:lang w:val="en-US" w:eastAsia="zh-CN"/>
        </w:rPr>
        <w:t xml:space="preserve">   </w:t>
      </w:r>
      <w:r>
        <w:rPr>
          <w:rFonts w:ascii="仿宋_GB2312" w:hAnsi="仿宋_GB2312" w:eastAsia="仿宋_GB2312" w:cs="仿宋_GB2312"/>
          <w:u w:val="single"/>
        </w:rPr>
        <w:t xml:space="preserve"> </w:t>
      </w:r>
      <w:r>
        <w:rPr>
          <w:rFonts w:hint="eastAsia" w:ascii="仿宋_GB2312" w:hAnsi="仿宋_GB2312" w:eastAsia="仿宋_GB2312" w:cs="仿宋_GB2312"/>
        </w:rPr>
        <w:t>万元，支出决算为</w:t>
      </w:r>
      <w:r>
        <w:rPr>
          <w:rFonts w:ascii="仿宋_GB2312" w:hAnsi="仿宋_GB2312" w:eastAsia="仿宋_GB2312" w:cs="仿宋_GB2312"/>
          <w:u w:val="single"/>
        </w:rPr>
        <w:t>27.38</w:t>
      </w:r>
      <w:r>
        <w:rPr>
          <w:rFonts w:hint="eastAsia" w:ascii="仿宋_GB2312" w:hAnsi="仿宋_GB2312" w:eastAsia="仿宋_GB2312" w:cs="仿宋_GB2312"/>
        </w:rPr>
        <w:t>万元</w:t>
      </w:r>
      <w:r>
        <w:rPr>
          <w:rFonts w:ascii="仿宋_GB2312" w:hAnsi="仿宋_GB2312" w:eastAsia="仿宋_GB2312" w:cs="仿宋_GB2312"/>
        </w:rPr>
        <w:t>%</w:t>
      </w:r>
      <w:r>
        <w:rPr>
          <w:rFonts w:hint="eastAsia" w:ascii="仿宋_GB2312" w:hAnsi="仿宋_GB2312" w:eastAsia="仿宋_GB2312" w:cs="仿宋_GB2312"/>
        </w:rPr>
        <w:t>。决算数大于预算数的主要原因在于年初预算提租补贴支出未单列，决算时根据要求进行了调整，将该项单独设立，与年初预算无法同口径比较。</w:t>
      </w:r>
    </w:p>
    <w:p>
      <w:pPr>
        <w:spacing w:line="550" w:lineRule="exact"/>
        <w:ind w:firstLine="643" w:firstLineChars="200"/>
        <w:rPr>
          <w:rFonts w:ascii="仿宋_GB2312" w:hAnsi="仿宋_GB2312" w:eastAsia="仿宋_GB2312"/>
          <w:b/>
          <w:bCs/>
        </w:rPr>
      </w:pPr>
      <w:r>
        <w:rPr>
          <w:rFonts w:hint="eastAsia" w:ascii="仿宋_GB2312" w:hAnsi="仿宋_GB2312" w:eastAsia="仿宋_GB2312" w:cs="仿宋_GB2312"/>
          <w:b/>
          <w:bCs/>
        </w:rPr>
        <w:t>六、财政拨款基本支出决算情况说明</w:t>
      </w:r>
    </w:p>
    <w:p>
      <w:pPr>
        <w:spacing w:line="550" w:lineRule="exact"/>
        <w:ind w:firstLine="800" w:firstLineChars="250"/>
        <w:rPr>
          <w:rFonts w:ascii="仿宋_GB2312" w:hAnsi="仿宋_GB2312" w:eastAsia="仿宋_GB2312"/>
        </w:rPr>
      </w:pPr>
      <w:r>
        <w:rPr>
          <w:rFonts w:hint="eastAsia" w:ascii="仿宋_GB2312" w:hAnsi="仿宋_GB2312" w:eastAsia="仿宋_GB2312" w:cs="仿宋_GB2312"/>
          <w:u w:val="single"/>
        </w:rPr>
        <w:t>海安市人民检察院</w:t>
      </w:r>
      <w:r>
        <w:rPr>
          <w:rFonts w:ascii="仿宋_GB2312" w:hAnsi="仿宋_GB2312" w:eastAsia="仿宋_GB2312" w:cs="仿宋_GB2312"/>
        </w:rPr>
        <w:t>2017</w:t>
      </w:r>
      <w:r>
        <w:rPr>
          <w:rFonts w:hint="eastAsia" w:ascii="仿宋_GB2312" w:hAnsi="仿宋_GB2312" w:eastAsia="仿宋_GB2312" w:cs="仿宋_GB2312"/>
        </w:rPr>
        <w:t>年度财政拨款基本支出</w:t>
      </w:r>
      <w:r>
        <w:rPr>
          <w:rFonts w:ascii="仿宋_GB2312" w:hAnsi="仿宋_GB2312" w:eastAsia="仿宋_GB2312" w:cs="仿宋_GB2312"/>
          <w:u w:val="single"/>
        </w:rPr>
        <w:t xml:space="preserve"> 2260.49  </w:t>
      </w:r>
      <w:r>
        <w:rPr>
          <w:rFonts w:hint="eastAsia" w:ascii="仿宋_GB2312" w:hAnsi="仿宋_GB2312" w:eastAsia="仿宋_GB2312" w:cs="仿宋_GB2312"/>
        </w:rPr>
        <w:t>万元，其中：</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（一）人员经费</w:t>
      </w:r>
      <w:r>
        <w:rPr>
          <w:rFonts w:ascii="仿宋_GB2312" w:hAnsi="仿宋_GB2312" w:eastAsia="仿宋_GB2312" w:cs="仿宋_GB2312"/>
          <w:u w:val="single"/>
        </w:rPr>
        <w:t xml:space="preserve"> 2040.15  </w:t>
      </w:r>
      <w:r>
        <w:rPr>
          <w:rFonts w:hint="eastAsia" w:ascii="仿宋_GB2312" w:hAnsi="仿宋_GB2312" w:eastAsia="仿宋_GB2312" w:cs="仿宋_GB2312"/>
        </w:rPr>
        <w:t>万元。主要包括：基本工资、津贴补贴、奖金、社会保障缴费、机关事业单位基本养老保险缴费、其他工资福利支出、离休费、退休费、生活补助、住房公积金、提租补贴、其他对个人和家庭的补助支出。</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（二）公用经费</w:t>
      </w:r>
      <w:r>
        <w:rPr>
          <w:rFonts w:ascii="仿宋_GB2312" w:hAnsi="仿宋_GB2312" w:eastAsia="仿宋_GB2312" w:cs="仿宋_GB2312"/>
          <w:u w:val="single"/>
        </w:rPr>
        <w:t xml:space="preserve"> 220.34 </w:t>
      </w:r>
      <w:r>
        <w:rPr>
          <w:rFonts w:hint="eastAsia" w:ascii="仿宋_GB2312" w:hAnsi="仿宋_GB2312" w:eastAsia="仿宋_GB2312" w:cs="仿宋_GB2312"/>
        </w:rPr>
        <w:t>万元。主要包括：办公费、印刷费、水费、电费、邮电费、物业管理费、差旅费、维修（护）费、租赁费、会议费、培训费、公务接待费、专用燃料费、劳务费、委托业务费、工会经费、福利费、公务用车运行维护费、其他交通费用、其他商品和服务支出。</w:t>
      </w:r>
    </w:p>
    <w:p>
      <w:pPr>
        <w:spacing w:line="550" w:lineRule="exact"/>
        <w:ind w:firstLine="643" w:firstLineChars="200"/>
        <w:rPr>
          <w:rFonts w:ascii="仿宋_GB2312" w:hAnsi="仿宋_GB2312" w:eastAsia="仿宋_GB2312"/>
          <w:b/>
          <w:bCs/>
        </w:rPr>
      </w:pPr>
      <w:r>
        <w:rPr>
          <w:rFonts w:hint="eastAsia" w:ascii="仿宋_GB2312" w:hAnsi="仿宋_GB2312" w:eastAsia="仿宋_GB2312" w:cs="仿宋_GB2312"/>
          <w:b/>
          <w:bCs/>
        </w:rPr>
        <w:t>七、一般公共预算财政拨款支出决算情况说明</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Pr>
          <w:rFonts w:hint="eastAsia" w:ascii="仿宋_GB2312" w:hAnsi="仿宋_GB2312" w:eastAsia="仿宋_GB2312" w:cs="仿宋_GB2312"/>
          <w:u w:val="single"/>
        </w:rPr>
        <w:t>海安市人民检察院</w:t>
      </w:r>
      <w:r>
        <w:rPr>
          <w:rFonts w:ascii="仿宋_GB2312" w:hAnsi="仿宋_GB2312" w:eastAsia="仿宋_GB2312" w:cs="仿宋_GB2312"/>
        </w:rPr>
        <w:t>2017</w:t>
      </w:r>
      <w:r>
        <w:rPr>
          <w:rFonts w:hint="eastAsia" w:ascii="仿宋_GB2312" w:hAnsi="仿宋_GB2312" w:eastAsia="仿宋_GB2312" w:cs="仿宋_GB2312"/>
        </w:rPr>
        <w:t>年一般公共预算财政拨款支出</w:t>
      </w:r>
      <w:r>
        <w:rPr>
          <w:rFonts w:ascii="仿宋_GB2312" w:hAnsi="仿宋_GB2312" w:eastAsia="仿宋_GB2312" w:cs="仿宋_GB2312"/>
          <w:u w:val="single"/>
        </w:rPr>
        <w:t xml:space="preserve"> 3450.00  </w:t>
      </w:r>
      <w:r>
        <w:rPr>
          <w:rFonts w:hint="eastAsia" w:ascii="仿宋_GB2312" w:hAnsi="仿宋_GB2312" w:eastAsia="仿宋_GB2312" w:cs="仿宋_GB2312"/>
        </w:rPr>
        <w:t>万元，与上年相比增加</w:t>
      </w:r>
      <w:r>
        <w:rPr>
          <w:rFonts w:ascii="仿宋_GB2312" w:hAnsi="仿宋_GB2312" w:eastAsia="仿宋_GB2312" w:cs="仿宋_GB2312"/>
          <w:u w:val="single"/>
        </w:rPr>
        <w:t xml:space="preserve"> 356.81 </w:t>
      </w:r>
      <w:r>
        <w:rPr>
          <w:rFonts w:hint="eastAsia" w:ascii="仿宋_GB2312" w:hAnsi="仿宋_GB2312" w:eastAsia="仿宋_GB2312" w:cs="仿宋_GB2312"/>
        </w:rPr>
        <w:t>万元，增长</w:t>
      </w:r>
      <w:r>
        <w:rPr>
          <w:rFonts w:ascii="仿宋_GB2312" w:hAnsi="仿宋_GB2312" w:eastAsia="仿宋_GB2312" w:cs="仿宋_GB2312"/>
          <w:u w:val="single"/>
        </w:rPr>
        <w:t xml:space="preserve"> 11.54  </w:t>
      </w:r>
      <w:r>
        <w:rPr>
          <w:rFonts w:ascii="仿宋_GB2312" w:hAnsi="仿宋_GB2312" w:eastAsia="仿宋_GB2312" w:cs="仿宋_GB2312"/>
        </w:rPr>
        <w:t>%</w:t>
      </w:r>
      <w:r>
        <w:rPr>
          <w:rFonts w:hint="eastAsia" w:ascii="仿宋_GB2312" w:hAnsi="仿宋_GB2312" w:eastAsia="仿宋_GB2312" w:cs="仿宋_GB2312"/>
        </w:rPr>
        <w:t>。主要原因是工资调整，人员经费增加以及大楼搬迁，物业管理费增加。</w:t>
      </w:r>
      <w:r>
        <w:rPr>
          <w:rFonts w:hint="eastAsia" w:ascii="仿宋_GB2312" w:hAnsi="仿宋_GB2312" w:eastAsia="仿宋_GB2312" w:cs="仿宋_GB2312"/>
          <w:u w:val="single"/>
        </w:rPr>
        <w:t>海安市人民检察院</w:t>
      </w:r>
      <w:r>
        <w:rPr>
          <w:rFonts w:ascii="仿宋_GB2312" w:hAnsi="仿宋_GB2312" w:eastAsia="仿宋_GB2312" w:cs="仿宋_GB2312"/>
        </w:rPr>
        <w:t>2017</w:t>
      </w:r>
      <w:r>
        <w:rPr>
          <w:rFonts w:hint="eastAsia" w:ascii="仿宋_GB2312" w:hAnsi="仿宋_GB2312" w:eastAsia="仿宋_GB2312" w:cs="仿宋_GB2312"/>
        </w:rPr>
        <w:t>年度一般公共预算财政拨款支出年初预算为</w:t>
      </w:r>
      <w:r>
        <w:rPr>
          <w:rFonts w:ascii="仿宋_GB2312" w:hAnsi="仿宋_GB2312" w:eastAsia="仿宋_GB2312" w:cs="仿宋_GB2312"/>
          <w:u w:val="single"/>
        </w:rPr>
        <w:t xml:space="preserve"> 2751.80 </w:t>
      </w:r>
      <w:r>
        <w:rPr>
          <w:rFonts w:hint="eastAsia" w:ascii="仿宋_GB2312" w:hAnsi="仿宋_GB2312" w:eastAsia="仿宋_GB2312" w:cs="仿宋_GB2312"/>
        </w:rPr>
        <w:t>万元，支出决算为</w:t>
      </w:r>
      <w:r>
        <w:rPr>
          <w:rFonts w:ascii="仿宋_GB2312" w:hAnsi="仿宋_GB2312" w:eastAsia="仿宋_GB2312" w:cs="仿宋_GB2312"/>
          <w:u w:val="single"/>
        </w:rPr>
        <w:t xml:space="preserve"> 3450.00 </w:t>
      </w:r>
      <w:r>
        <w:rPr>
          <w:rFonts w:hint="eastAsia" w:ascii="仿宋_GB2312" w:hAnsi="仿宋_GB2312" w:eastAsia="仿宋_GB2312" w:cs="仿宋_GB2312"/>
        </w:rPr>
        <w:t>万元，完成年初预算的</w:t>
      </w:r>
      <w:r>
        <w:rPr>
          <w:rFonts w:ascii="仿宋_GB2312" w:hAnsi="仿宋_GB2312" w:eastAsia="仿宋_GB2312" w:cs="仿宋_GB2312"/>
          <w:u w:val="single"/>
        </w:rPr>
        <w:t xml:space="preserve"> 125.37 </w:t>
      </w:r>
      <w:r>
        <w:rPr>
          <w:rFonts w:ascii="仿宋_GB2312" w:hAnsi="仿宋_GB2312" w:eastAsia="仿宋_GB2312" w:cs="仿宋_GB2312"/>
        </w:rPr>
        <w:t>%</w:t>
      </w:r>
      <w:r>
        <w:rPr>
          <w:rFonts w:hint="eastAsia" w:ascii="仿宋_GB2312" w:hAnsi="仿宋_GB2312" w:eastAsia="仿宋_GB2312" w:cs="仿宋_GB2312"/>
        </w:rPr>
        <w:t>。决算数大于年初预算的主要原因是工资调整，财政追加人员经费以及大楼搬迁，财政追加物业管理费。</w:t>
      </w:r>
    </w:p>
    <w:p>
      <w:pPr>
        <w:spacing w:line="550" w:lineRule="exact"/>
        <w:ind w:firstLine="643" w:firstLineChars="200"/>
        <w:rPr>
          <w:rFonts w:ascii="仿宋_GB2312" w:hAnsi="仿宋_GB2312" w:eastAsia="仿宋_GB2312"/>
          <w:b/>
          <w:bCs/>
        </w:rPr>
      </w:pPr>
      <w:r>
        <w:rPr>
          <w:rFonts w:hint="eastAsia" w:ascii="仿宋_GB2312" w:hAnsi="仿宋_GB2312" w:eastAsia="仿宋_GB2312" w:cs="仿宋_GB2312"/>
          <w:b/>
          <w:bCs/>
        </w:rPr>
        <w:t>八、一般公共预算财政拨款基本支出决算情况说明</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u w:val="single"/>
        </w:rPr>
        <w:t>海安市人民检察院</w:t>
      </w:r>
      <w:r>
        <w:rPr>
          <w:rFonts w:ascii="仿宋_GB2312" w:hAnsi="仿宋_GB2312" w:eastAsia="仿宋_GB2312" w:cs="仿宋_GB2312"/>
        </w:rPr>
        <w:t>2017</w:t>
      </w:r>
      <w:r>
        <w:rPr>
          <w:rFonts w:hint="eastAsia" w:ascii="仿宋_GB2312" w:hAnsi="仿宋_GB2312" w:eastAsia="仿宋_GB2312" w:cs="仿宋_GB2312"/>
        </w:rPr>
        <w:t>年度一般公共预算财政拨款基本支出</w:t>
      </w:r>
      <w:r>
        <w:rPr>
          <w:rFonts w:ascii="仿宋_GB2312" w:hAnsi="仿宋_GB2312" w:eastAsia="仿宋_GB2312" w:cs="仿宋_GB2312"/>
          <w:u w:val="single"/>
        </w:rPr>
        <w:t xml:space="preserve">  2260.49 </w:t>
      </w:r>
      <w:r>
        <w:rPr>
          <w:rFonts w:hint="eastAsia" w:ascii="仿宋_GB2312" w:hAnsi="仿宋_GB2312" w:eastAsia="仿宋_GB2312" w:cs="仿宋_GB2312"/>
        </w:rPr>
        <w:t>万元，其中：</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（一）人员经费</w:t>
      </w:r>
      <w:r>
        <w:rPr>
          <w:rFonts w:ascii="仿宋_GB2312" w:hAnsi="仿宋_GB2312" w:eastAsia="仿宋_GB2312" w:cs="仿宋_GB2312"/>
          <w:u w:val="single"/>
        </w:rPr>
        <w:t xml:space="preserve">  2040.15  </w:t>
      </w:r>
      <w:r>
        <w:rPr>
          <w:rFonts w:hint="eastAsia" w:ascii="仿宋_GB2312" w:hAnsi="仿宋_GB2312" w:eastAsia="仿宋_GB2312" w:cs="仿宋_GB2312"/>
        </w:rPr>
        <w:t>万元。主要包括：基本工资、津贴补贴、奖金、社会保障缴费、机关事业单位基本养老保险缴费、其他工资福利支出、离休费、退休费、生活补助、住房公积金、提租补贴、其他对个人和家庭的补助支出。</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（二）公用经费</w:t>
      </w:r>
      <w:r>
        <w:rPr>
          <w:rFonts w:ascii="仿宋_GB2312" w:hAnsi="仿宋_GB2312" w:eastAsia="仿宋_GB2312" w:cs="仿宋_GB2312"/>
          <w:u w:val="single"/>
        </w:rPr>
        <w:t xml:space="preserve"> 220.34  </w:t>
      </w:r>
      <w:r>
        <w:rPr>
          <w:rFonts w:hint="eastAsia" w:ascii="仿宋_GB2312" w:hAnsi="仿宋_GB2312" w:eastAsia="仿宋_GB2312" w:cs="仿宋_GB2312"/>
        </w:rPr>
        <w:t>万元。主要包括：办公费、印刷费、水费、电费、邮电费、物业管理费、差旅费、维修（护）费、租赁费、会议费、培训费、公务接待费、劳务费、委托业务费、工会经费、福利费、公务用车运行维护费、其他交通费用、其他商品和服务支出。</w:t>
      </w:r>
    </w:p>
    <w:p>
      <w:pPr>
        <w:spacing w:line="550" w:lineRule="exact"/>
        <w:ind w:firstLine="643" w:firstLineChars="200"/>
        <w:rPr>
          <w:rFonts w:ascii="仿宋_GB2312" w:hAnsi="仿宋_GB2312" w:eastAsia="仿宋_GB2312"/>
          <w:b/>
          <w:bCs/>
        </w:rPr>
      </w:pPr>
      <w:r>
        <w:rPr>
          <w:rFonts w:hint="eastAsia" w:ascii="仿宋_GB2312" w:hAnsi="仿宋_GB2312" w:eastAsia="仿宋_GB2312" w:cs="仿宋_GB2312"/>
          <w:b/>
          <w:bCs/>
        </w:rPr>
        <w:t>九、一般公共预算财政拨款“三公”经费、会议费、培训费支出情况说明</w:t>
      </w:r>
    </w:p>
    <w:p>
      <w:pPr>
        <w:spacing w:line="550" w:lineRule="exact"/>
        <w:ind w:firstLine="800" w:firstLineChars="250"/>
        <w:rPr>
          <w:rFonts w:ascii="仿宋_GB2312" w:hAnsi="仿宋_GB2312" w:eastAsia="仿宋_GB2312"/>
        </w:rPr>
      </w:pPr>
      <w:r>
        <w:rPr>
          <w:rFonts w:hint="eastAsia" w:ascii="仿宋_GB2312" w:hAnsi="仿宋_GB2312" w:eastAsia="仿宋_GB2312" w:cs="仿宋_GB2312"/>
          <w:u w:val="single"/>
        </w:rPr>
        <w:t>海安市人民检察院</w:t>
      </w:r>
      <w:r>
        <w:rPr>
          <w:rFonts w:ascii="仿宋_GB2312" w:hAnsi="仿宋_GB2312" w:eastAsia="仿宋_GB2312" w:cs="仿宋_GB2312"/>
        </w:rPr>
        <w:t xml:space="preserve">2017 </w:t>
      </w:r>
      <w:r>
        <w:rPr>
          <w:rFonts w:hint="eastAsia" w:ascii="仿宋_GB2312" w:hAnsi="仿宋_GB2312" w:eastAsia="仿宋_GB2312" w:cs="仿宋_GB2312"/>
        </w:rPr>
        <w:t>年度一般公共预算拨款安排的“三公”经费决算支出中，因公出国（境）费支出</w:t>
      </w:r>
      <w:r>
        <w:rPr>
          <w:rFonts w:ascii="仿宋_GB2312" w:hAnsi="仿宋_GB2312" w:eastAsia="仿宋_GB2312" w:cs="仿宋_GB2312"/>
          <w:u w:val="single"/>
        </w:rPr>
        <w:t xml:space="preserve"> 0 </w:t>
      </w:r>
      <w:r>
        <w:rPr>
          <w:rFonts w:hint="eastAsia" w:ascii="仿宋_GB2312" w:hAnsi="仿宋_GB2312" w:eastAsia="仿宋_GB2312" w:cs="仿宋_GB2312"/>
        </w:rPr>
        <w:t>万元，占“三公”经费的</w:t>
      </w:r>
      <w:r>
        <w:rPr>
          <w:rFonts w:ascii="仿宋_GB2312" w:hAnsi="仿宋_GB2312" w:eastAsia="仿宋_GB2312" w:cs="仿宋_GB2312"/>
          <w:u w:val="single"/>
        </w:rPr>
        <w:t xml:space="preserve">  0.00 </w:t>
      </w:r>
      <w:r>
        <w:rPr>
          <w:rFonts w:ascii="仿宋_GB2312" w:hAnsi="仿宋_GB2312" w:eastAsia="仿宋_GB2312" w:cs="仿宋_GB2312"/>
        </w:rPr>
        <w:t>%</w:t>
      </w:r>
      <w:r>
        <w:rPr>
          <w:rFonts w:hint="eastAsia" w:ascii="仿宋_GB2312" w:hAnsi="仿宋_GB2312" w:eastAsia="仿宋_GB2312" w:cs="仿宋_GB2312"/>
        </w:rPr>
        <w:t>；公务用车购置及运行费支出</w:t>
      </w:r>
      <w:r>
        <w:rPr>
          <w:rFonts w:ascii="仿宋_GB2312" w:hAnsi="仿宋_GB2312" w:eastAsia="仿宋_GB2312" w:cs="仿宋_GB2312"/>
          <w:u w:val="single"/>
        </w:rPr>
        <w:t xml:space="preserve">  44.80 </w:t>
      </w:r>
      <w:r>
        <w:rPr>
          <w:rFonts w:hint="eastAsia" w:ascii="仿宋_GB2312" w:hAnsi="仿宋_GB2312" w:eastAsia="仿宋_GB2312" w:cs="仿宋_GB2312"/>
        </w:rPr>
        <w:t>万元，占“三公”经费的</w:t>
      </w:r>
      <w:r>
        <w:rPr>
          <w:rFonts w:ascii="仿宋_GB2312" w:hAnsi="仿宋_GB2312" w:eastAsia="仿宋_GB2312" w:cs="仿宋_GB2312"/>
          <w:u w:val="single"/>
        </w:rPr>
        <w:t xml:space="preserve">  91.52  </w:t>
      </w:r>
      <w:r>
        <w:rPr>
          <w:rFonts w:ascii="仿宋_GB2312" w:hAnsi="仿宋_GB2312" w:eastAsia="仿宋_GB2312" w:cs="仿宋_GB2312"/>
        </w:rPr>
        <w:t>%</w:t>
      </w:r>
      <w:r>
        <w:rPr>
          <w:rFonts w:hint="eastAsia" w:ascii="仿宋_GB2312" w:hAnsi="仿宋_GB2312" w:eastAsia="仿宋_GB2312" w:cs="仿宋_GB2312"/>
        </w:rPr>
        <w:t>；公务接待费支出</w:t>
      </w:r>
      <w:r>
        <w:rPr>
          <w:rFonts w:ascii="仿宋_GB2312" w:hAnsi="仿宋_GB2312" w:eastAsia="仿宋_GB2312" w:cs="仿宋_GB2312"/>
          <w:u w:val="single"/>
        </w:rPr>
        <w:t xml:space="preserve">  4.15  </w:t>
      </w:r>
      <w:r>
        <w:rPr>
          <w:rFonts w:hint="eastAsia" w:ascii="仿宋_GB2312" w:hAnsi="仿宋_GB2312" w:eastAsia="仿宋_GB2312" w:cs="仿宋_GB2312"/>
        </w:rPr>
        <w:t>万元，占“三公”经费的</w:t>
      </w:r>
      <w:r>
        <w:rPr>
          <w:rFonts w:ascii="仿宋_GB2312" w:hAnsi="仿宋_GB2312" w:eastAsia="仿宋_GB2312" w:cs="仿宋_GB2312"/>
          <w:u w:val="single"/>
        </w:rPr>
        <w:t xml:space="preserve"> 8.48  </w:t>
      </w:r>
      <w:r>
        <w:rPr>
          <w:rFonts w:ascii="仿宋_GB2312" w:hAnsi="仿宋_GB2312" w:eastAsia="仿宋_GB2312" w:cs="仿宋_GB2312"/>
        </w:rPr>
        <w:t>%</w:t>
      </w:r>
      <w:r>
        <w:rPr>
          <w:rFonts w:hint="eastAsia" w:ascii="仿宋_GB2312" w:hAnsi="仿宋_GB2312" w:eastAsia="仿宋_GB2312" w:cs="仿宋_GB2312"/>
        </w:rPr>
        <w:t>。具体情况如下：</w:t>
      </w:r>
    </w:p>
    <w:p>
      <w:pPr>
        <w:spacing w:line="550" w:lineRule="exact"/>
        <w:ind w:firstLine="640" w:firstLineChars="200"/>
        <w:rPr>
          <w:rFonts w:ascii="仿宋_GB2312" w:hAnsi="仿宋_GB2312" w:eastAsia="仿宋_GB2312"/>
        </w:rPr>
      </w:pPr>
      <w:r>
        <w:rPr>
          <w:rFonts w:ascii="仿宋_GB2312" w:hAnsi="仿宋_GB2312" w:eastAsia="仿宋_GB2312" w:cs="仿宋_GB2312"/>
        </w:rPr>
        <w:t>1</w:t>
      </w:r>
      <w:r>
        <w:rPr>
          <w:rFonts w:hint="eastAsia" w:ascii="仿宋_GB2312" w:hAnsi="仿宋_GB2312" w:eastAsia="仿宋_GB2312" w:cs="仿宋_GB2312"/>
        </w:rPr>
        <w:t>．因公出国（境）费决算支出</w:t>
      </w:r>
      <w:r>
        <w:rPr>
          <w:rFonts w:ascii="仿宋_GB2312" w:hAnsi="仿宋_GB2312" w:eastAsia="仿宋_GB2312" w:cs="仿宋_GB2312"/>
          <w:u w:val="single"/>
        </w:rPr>
        <w:t xml:space="preserve"> 0  </w:t>
      </w:r>
      <w:r>
        <w:rPr>
          <w:rFonts w:hint="eastAsia" w:ascii="仿宋_GB2312" w:hAnsi="仿宋_GB2312" w:eastAsia="仿宋_GB2312" w:cs="仿宋_GB2312"/>
        </w:rPr>
        <w:t>万元，完成预算的</w:t>
      </w:r>
      <w:r>
        <w:rPr>
          <w:rFonts w:ascii="仿宋_GB2312" w:hAnsi="仿宋_GB2312" w:eastAsia="仿宋_GB2312" w:cs="仿宋_GB2312"/>
          <w:u w:val="single"/>
        </w:rPr>
        <w:t xml:space="preserve"> 100.00 </w:t>
      </w:r>
      <w:r>
        <w:rPr>
          <w:rFonts w:ascii="仿宋_GB2312" w:hAnsi="仿宋_GB2312" w:eastAsia="仿宋_GB2312" w:cs="仿宋_GB2312"/>
        </w:rPr>
        <w:t>%</w:t>
      </w:r>
      <w:r>
        <w:rPr>
          <w:rFonts w:hint="eastAsia" w:ascii="仿宋_GB2312" w:hAnsi="仿宋_GB2312" w:eastAsia="仿宋_GB2312" w:cs="仿宋_GB2312"/>
        </w:rPr>
        <w:t>，与上年决算持平，决算数等于预算数的主要原因为本部门未安排因公出国（境）费用预算，未发生该费用支出。全年使用一般公共预算拨款支出安排的出国（境）团组</w:t>
      </w:r>
      <w:r>
        <w:rPr>
          <w:rFonts w:ascii="仿宋_GB2312" w:hAnsi="仿宋_GB2312" w:eastAsia="仿宋_GB2312" w:cs="仿宋_GB2312"/>
          <w:u w:val="single"/>
        </w:rPr>
        <w:t xml:space="preserve"> 0  </w:t>
      </w:r>
      <w:r>
        <w:rPr>
          <w:rFonts w:hint="eastAsia" w:ascii="仿宋_GB2312" w:hAnsi="仿宋_GB2312" w:eastAsia="仿宋_GB2312" w:cs="仿宋_GB2312"/>
        </w:rPr>
        <w:t>个，累计</w:t>
      </w:r>
      <w:r>
        <w:rPr>
          <w:rFonts w:ascii="仿宋_GB2312" w:hAnsi="仿宋_GB2312" w:eastAsia="仿宋_GB2312" w:cs="仿宋_GB2312"/>
          <w:u w:val="single"/>
        </w:rPr>
        <w:t xml:space="preserve">  0 </w:t>
      </w:r>
      <w:r>
        <w:rPr>
          <w:rFonts w:hint="eastAsia" w:ascii="仿宋_GB2312" w:hAnsi="仿宋_GB2312" w:eastAsia="仿宋_GB2312" w:cs="仿宋_GB2312"/>
        </w:rPr>
        <w:t>人次。</w:t>
      </w:r>
    </w:p>
    <w:p>
      <w:pPr>
        <w:spacing w:line="550" w:lineRule="exact"/>
        <w:ind w:firstLine="640" w:firstLineChars="200"/>
        <w:rPr>
          <w:rFonts w:ascii="仿宋_GB2312" w:hAnsi="仿宋_GB2312" w:eastAsia="仿宋_GB2312"/>
        </w:rPr>
      </w:pPr>
      <w:r>
        <w:rPr>
          <w:rFonts w:ascii="仿宋_GB2312" w:hAnsi="仿宋_GB2312" w:eastAsia="仿宋_GB2312" w:cs="仿宋_GB2312"/>
        </w:rPr>
        <w:t>2</w:t>
      </w:r>
      <w:r>
        <w:rPr>
          <w:rFonts w:hint="eastAsia" w:ascii="仿宋_GB2312" w:hAnsi="仿宋_GB2312" w:eastAsia="仿宋_GB2312" w:cs="仿宋_GB2312"/>
        </w:rPr>
        <w:t>．公务用车购置及运行费支出</w:t>
      </w:r>
      <w:r>
        <w:rPr>
          <w:rFonts w:ascii="仿宋_GB2312" w:hAnsi="仿宋_GB2312" w:eastAsia="仿宋_GB2312" w:cs="仿宋_GB2312"/>
          <w:u w:val="single"/>
        </w:rPr>
        <w:t xml:space="preserve"> 44.80  </w:t>
      </w:r>
      <w:r>
        <w:rPr>
          <w:rFonts w:hint="eastAsia" w:ascii="仿宋_GB2312" w:hAnsi="仿宋_GB2312" w:eastAsia="仿宋_GB2312" w:cs="仿宋_GB2312"/>
        </w:rPr>
        <w:t>万元。其中：</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）公务用车购置决算支出</w:t>
      </w:r>
      <w:r>
        <w:rPr>
          <w:rFonts w:ascii="仿宋_GB2312" w:hAnsi="仿宋_GB2312" w:eastAsia="仿宋_GB2312" w:cs="仿宋_GB2312"/>
          <w:u w:val="single"/>
        </w:rPr>
        <w:t xml:space="preserve"> 0  </w:t>
      </w:r>
      <w:r>
        <w:rPr>
          <w:rFonts w:hint="eastAsia" w:ascii="仿宋_GB2312" w:hAnsi="仿宋_GB2312" w:eastAsia="仿宋_GB2312" w:cs="仿宋_GB2312"/>
        </w:rPr>
        <w:t>万元，完成预算的</w:t>
      </w:r>
      <w:r>
        <w:rPr>
          <w:rFonts w:ascii="仿宋_GB2312" w:hAnsi="仿宋_GB2312" w:eastAsia="仿宋_GB2312" w:cs="仿宋_GB2312"/>
          <w:u w:val="single"/>
        </w:rPr>
        <w:t xml:space="preserve"> 100.00</w:t>
      </w:r>
      <w:r>
        <w:rPr>
          <w:rFonts w:ascii="仿宋_GB2312" w:hAnsi="仿宋_GB2312" w:eastAsia="仿宋_GB2312" w:cs="仿宋_GB2312"/>
        </w:rPr>
        <w:t>%</w:t>
      </w:r>
      <w:r>
        <w:rPr>
          <w:rFonts w:hint="eastAsia" w:ascii="仿宋_GB2312" w:hAnsi="仿宋_GB2312" w:eastAsia="仿宋_GB2312" w:cs="仿宋_GB2312"/>
        </w:rPr>
        <w:t>，与上年决算持平，决算数等于预算数的主要原因为本部门未安排公务用车购置预算，未发生该费用支出。本年度使用一般公共预算拨款购置公务用车</w:t>
      </w:r>
      <w:r>
        <w:rPr>
          <w:rFonts w:ascii="仿宋_GB2312" w:hAnsi="仿宋_GB2312" w:eastAsia="仿宋_GB2312" w:cs="仿宋_GB2312"/>
          <w:u w:val="single"/>
        </w:rPr>
        <w:t xml:space="preserve">  0 </w:t>
      </w:r>
      <w:r>
        <w:rPr>
          <w:rFonts w:hint="eastAsia" w:ascii="仿宋_GB2312" w:hAnsi="仿宋_GB2312" w:eastAsia="仿宋_GB2312" w:cs="仿宋_GB2312"/>
        </w:rPr>
        <w:t>辆。</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）公务用车运行维护费决算支出</w:t>
      </w:r>
      <w:r>
        <w:rPr>
          <w:rFonts w:ascii="仿宋_GB2312" w:hAnsi="仿宋_GB2312" w:eastAsia="仿宋_GB2312" w:cs="仿宋_GB2312"/>
          <w:u w:val="single"/>
        </w:rPr>
        <w:t xml:space="preserve">  44.80  </w:t>
      </w:r>
      <w:r>
        <w:rPr>
          <w:rFonts w:hint="eastAsia" w:ascii="仿宋_GB2312" w:hAnsi="仿宋_GB2312" w:eastAsia="仿宋_GB2312" w:cs="仿宋_GB2312"/>
        </w:rPr>
        <w:t>万元，完成预算的</w:t>
      </w:r>
      <w:r>
        <w:rPr>
          <w:rFonts w:ascii="仿宋_GB2312" w:hAnsi="仿宋_GB2312" w:eastAsia="仿宋_GB2312" w:cs="仿宋_GB2312"/>
          <w:u w:val="single"/>
        </w:rPr>
        <w:t xml:space="preserve"> 100.00</w:t>
      </w:r>
      <w:r>
        <w:rPr>
          <w:rFonts w:ascii="仿宋_GB2312" w:hAnsi="仿宋_GB2312" w:eastAsia="仿宋_GB2312" w:cs="仿宋_GB2312"/>
        </w:rPr>
        <w:t>%</w:t>
      </w:r>
      <w:r>
        <w:rPr>
          <w:rFonts w:hint="eastAsia" w:ascii="仿宋_GB2312" w:hAnsi="仿宋_GB2312" w:eastAsia="仿宋_GB2312" w:cs="仿宋_GB2312"/>
        </w:rPr>
        <w:t>，比上年决算减少</w:t>
      </w:r>
      <w:r>
        <w:rPr>
          <w:rFonts w:ascii="仿宋_GB2312" w:hAnsi="仿宋_GB2312" w:eastAsia="仿宋_GB2312" w:cs="仿宋_GB2312"/>
          <w:u w:val="single"/>
        </w:rPr>
        <w:t xml:space="preserve"> 10.00  </w:t>
      </w:r>
      <w:r>
        <w:rPr>
          <w:rFonts w:hint="eastAsia" w:ascii="仿宋_GB2312" w:hAnsi="仿宋_GB2312" w:eastAsia="仿宋_GB2312" w:cs="仿宋_GB2312"/>
        </w:rPr>
        <w:t>万元，主要原因是本部门</w:t>
      </w:r>
      <w:bookmarkStart w:id="8" w:name="_GoBack"/>
      <w:bookmarkEnd w:id="8"/>
      <w:r>
        <w:rPr>
          <w:rFonts w:hint="eastAsia" w:ascii="仿宋_GB2312" w:hAnsi="仿宋_GB2312" w:eastAsia="仿宋_GB2312" w:cs="仿宋_GB2312"/>
        </w:rPr>
        <w:t>坚持厉行节约，加强公车管理。决算数等于预算数。公务用车运行维护费主要用于车辆燃料、车辆维修、车辆保险、过桥过路费等支出。</w:t>
      </w:r>
      <w:r>
        <w:rPr>
          <w:rFonts w:ascii="仿宋_GB2312" w:hAnsi="仿宋_GB2312" w:eastAsia="仿宋_GB2312" w:cs="仿宋_GB2312"/>
        </w:rPr>
        <w:t>2017</w:t>
      </w:r>
      <w:r>
        <w:rPr>
          <w:rFonts w:hint="eastAsia" w:ascii="仿宋_GB2312" w:hAnsi="仿宋_GB2312" w:eastAsia="仿宋_GB2312" w:cs="仿宋_GB2312"/>
        </w:rPr>
        <w:t>年使用一般公共预算拨款开支运行维护费的公务用车保有量</w:t>
      </w:r>
      <w:r>
        <w:rPr>
          <w:rFonts w:ascii="仿宋_GB2312" w:hAnsi="仿宋_GB2312" w:eastAsia="仿宋_GB2312" w:cs="仿宋_GB2312"/>
          <w:u w:val="single"/>
        </w:rPr>
        <w:t xml:space="preserve"> 17  </w:t>
      </w:r>
      <w:r>
        <w:rPr>
          <w:rFonts w:hint="eastAsia" w:ascii="仿宋_GB2312" w:hAnsi="仿宋_GB2312" w:eastAsia="仿宋_GB2312" w:cs="仿宋_GB2312"/>
        </w:rPr>
        <w:t>辆。</w:t>
      </w:r>
    </w:p>
    <w:p>
      <w:pPr>
        <w:spacing w:line="550" w:lineRule="exact"/>
        <w:ind w:firstLine="640" w:firstLineChars="200"/>
        <w:rPr>
          <w:rFonts w:ascii="仿宋_GB2312" w:hAnsi="仿宋_GB2312" w:eastAsia="仿宋_GB2312"/>
        </w:rPr>
      </w:pPr>
      <w:r>
        <w:rPr>
          <w:rFonts w:ascii="仿宋_GB2312" w:hAnsi="仿宋_GB2312" w:eastAsia="仿宋_GB2312" w:cs="仿宋_GB2312"/>
        </w:rPr>
        <w:t>3</w:t>
      </w:r>
      <w:r>
        <w:rPr>
          <w:rFonts w:hint="eastAsia" w:ascii="仿宋_GB2312" w:hAnsi="仿宋_GB2312" w:eastAsia="仿宋_GB2312" w:cs="仿宋_GB2312"/>
        </w:rPr>
        <w:t>．公务接待费</w:t>
      </w:r>
      <w:r>
        <w:rPr>
          <w:rFonts w:ascii="仿宋_GB2312" w:hAnsi="仿宋_GB2312" w:eastAsia="仿宋_GB2312" w:cs="仿宋_GB2312"/>
          <w:u w:val="single"/>
        </w:rPr>
        <w:t xml:space="preserve"> 4.15  </w:t>
      </w:r>
      <w:r>
        <w:rPr>
          <w:rFonts w:hint="eastAsia" w:ascii="仿宋_GB2312" w:hAnsi="仿宋_GB2312" w:eastAsia="仿宋_GB2312" w:cs="仿宋_GB2312"/>
        </w:rPr>
        <w:t>万元。其中：</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）外事接待支出</w:t>
      </w:r>
      <w:r>
        <w:rPr>
          <w:rFonts w:ascii="仿宋_GB2312" w:hAnsi="仿宋_GB2312" w:eastAsia="仿宋_GB2312" w:cs="仿宋_GB2312"/>
          <w:u w:val="single"/>
        </w:rPr>
        <w:t xml:space="preserve">  0 </w:t>
      </w:r>
      <w:r>
        <w:rPr>
          <w:rFonts w:hint="eastAsia" w:ascii="仿宋_GB2312" w:hAnsi="仿宋_GB2312" w:eastAsia="仿宋_GB2312" w:cs="仿宋_GB2312"/>
        </w:rPr>
        <w:t>万元，完成预算的</w:t>
      </w:r>
      <w:r>
        <w:rPr>
          <w:rFonts w:ascii="仿宋_GB2312" w:hAnsi="仿宋_GB2312" w:eastAsia="仿宋_GB2312" w:cs="仿宋_GB2312"/>
          <w:u w:val="single"/>
        </w:rPr>
        <w:t xml:space="preserve"> 100.00  </w:t>
      </w:r>
      <w:r>
        <w:rPr>
          <w:rFonts w:ascii="仿宋_GB2312" w:hAnsi="仿宋_GB2312" w:eastAsia="仿宋_GB2312" w:cs="仿宋_GB2312"/>
        </w:rPr>
        <w:t>%</w:t>
      </w:r>
      <w:r>
        <w:rPr>
          <w:rFonts w:hint="eastAsia" w:ascii="仿宋_GB2312" w:hAnsi="仿宋_GB2312" w:eastAsia="仿宋_GB2312" w:cs="仿宋_GB2312"/>
        </w:rPr>
        <w:t>，与上年决算持平，决算数等于预算数的主要原因是本部门不涉及外事接待，未发生该项支出；未有外事接待预算。</w:t>
      </w:r>
      <w:r>
        <w:rPr>
          <w:rFonts w:ascii="仿宋_GB2312" w:hAnsi="仿宋_GB2312" w:eastAsia="仿宋_GB2312" w:cs="仿宋_GB2312"/>
        </w:rPr>
        <w:t>2017</w:t>
      </w:r>
      <w:r>
        <w:rPr>
          <w:rFonts w:hint="eastAsia" w:ascii="仿宋_GB2312" w:hAnsi="仿宋_GB2312" w:eastAsia="仿宋_GB2312" w:cs="仿宋_GB2312"/>
        </w:rPr>
        <w:t>年使用一般公共预算拨款开支的外事接待</w:t>
      </w:r>
      <w:r>
        <w:rPr>
          <w:rFonts w:ascii="仿宋_GB2312" w:hAnsi="仿宋_GB2312" w:eastAsia="仿宋_GB2312" w:cs="仿宋_GB2312"/>
          <w:u w:val="single"/>
        </w:rPr>
        <w:t xml:space="preserve"> 0  </w:t>
      </w:r>
      <w:r>
        <w:rPr>
          <w:rFonts w:hint="eastAsia" w:ascii="仿宋_GB2312" w:hAnsi="仿宋_GB2312" w:eastAsia="仿宋_GB2312" w:cs="仿宋_GB2312"/>
        </w:rPr>
        <w:t>批次，</w:t>
      </w:r>
      <w:r>
        <w:rPr>
          <w:rFonts w:ascii="仿宋_GB2312" w:hAnsi="仿宋_GB2312" w:eastAsia="仿宋_GB2312" w:cs="仿宋_GB2312"/>
          <w:u w:val="single"/>
        </w:rPr>
        <w:t xml:space="preserve"> 0  </w:t>
      </w:r>
      <w:r>
        <w:rPr>
          <w:rFonts w:hint="eastAsia" w:ascii="仿宋_GB2312" w:hAnsi="仿宋_GB2312" w:eastAsia="仿宋_GB2312" w:cs="仿宋_GB2312"/>
        </w:rPr>
        <w:t>人次。</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）国内公务接待支出</w:t>
      </w:r>
      <w:r>
        <w:rPr>
          <w:rFonts w:ascii="仿宋_GB2312" w:hAnsi="仿宋_GB2312" w:eastAsia="仿宋_GB2312" w:cs="仿宋_GB2312"/>
          <w:u w:val="single"/>
        </w:rPr>
        <w:t xml:space="preserve"> 4.15  </w:t>
      </w:r>
      <w:r>
        <w:rPr>
          <w:rFonts w:hint="eastAsia" w:ascii="仿宋_GB2312" w:hAnsi="仿宋_GB2312" w:eastAsia="仿宋_GB2312" w:cs="仿宋_GB2312"/>
        </w:rPr>
        <w:t>万元，完成预算的</w:t>
      </w:r>
      <w:r>
        <w:rPr>
          <w:rFonts w:ascii="仿宋_GB2312" w:hAnsi="仿宋_GB2312" w:eastAsia="仿宋_GB2312" w:cs="仿宋_GB2312"/>
          <w:u w:val="single"/>
        </w:rPr>
        <w:t xml:space="preserve">  40.61  </w:t>
      </w:r>
      <w:r>
        <w:rPr>
          <w:rFonts w:ascii="仿宋_GB2312" w:hAnsi="仿宋_GB2312" w:eastAsia="仿宋_GB2312" w:cs="仿宋_GB2312"/>
        </w:rPr>
        <w:t>%</w:t>
      </w:r>
      <w:r>
        <w:rPr>
          <w:rFonts w:hint="eastAsia" w:ascii="仿宋_GB2312" w:hAnsi="仿宋_GB2312" w:eastAsia="仿宋_GB2312" w:cs="仿宋_GB2312"/>
        </w:rPr>
        <w:t>，比上年决算减少</w:t>
      </w:r>
      <w:r>
        <w:rPr>
          <w:rFonts w:ascii="仿宋_GB2312" w:hAnsi="仿宋_GB2312" w:eastAsia="仿宋_GB2312" w:cs="仿宋_GB2312"/>
          <w:u w:val="single"/>
        </w:rPr>
        <w:t xml:space="preserve"> 2.75  </w:t>
      </w:r>
      <w:r>
        <w:rPr>
          <w:rFonts w:hint="eastAsia" w:ascii="仿宋_GB2312" w:hAnsi="仿宋_GB2312" w:eastAsia="仿宋_GB2312" w:cs="仿宋_GB2312"/>
        </w:rPr>
        <w:t>万元，主要原因在于本部门严格执行中央八项规定及省、市、县公务接待方面的规定，严格申请流程、严控用餐标准。决算数小于预算数的主要原因在于本部门严格执行中央八项规定及省、市、县公务接待方面的规定，严格申请流程、严控用餐标准。国内公务接待主要为出席会议、执行任务、学习交流、检查指导、请示汇报工作等公务活动的接待，</w:t>
      </w:r>
      <w:r>
        <w:rPr>
          <w:rFonts w:ascii="仿宋_GB2312" w:hAnsi="仿宋_GB2312" w:eastAsia="仿宋_GB2312" w:cs="仿宋_GB2312"/>
        </w:rPr>
        <w:t xml:space="preserve">2017 </w:t>
      </w:r>
      <w:r>
        <w:rPr>
          <w:rFonts w:hint="eastAsia" w:ascii="仿宋_GB2312" w:hAnsi="仿宋_GB2312" w:eastAsia="仿宋_GB2312" w:cs="仿宋_GB2312"/>
        </w:rPr>
        <w:t>年使用一般公共预算拨款开支的国内公务接待</w:t>
      </w:r>
      <w:r>
        <w:rPr>
          <w:rFonts w:ascii="仿宋_GB2312" w:hAnsi="仿宋_GB2312" w:eastAsia="仿宋_GB2312" w:cs="仿宋_GB2312"/>
          <w:u w:val="single"/>
        </w:rPr>
        <w:t xml:space="preserve"> 86  </w:t>
      </w:r>
      <w:r>
        <w:rPr>
          <w:rFonts w:hint="eastAsia" w:ascii="仿宋_GB2312" w:hAnsi="仿宋_GB2312" w:eastAsia="仿宋_GB2312" w:cs="仿宋_GB2312"/>
        </w:rPr>
        <w:t>批次，</w:t>
      </w:r>
      <w:r>
        <w:rPr>
          <w:rFonts w:ascii="仿宋_GB2312" w:hAnsi="仿宋_GB2312" w:eastAsia="仿宋_GB2312" w:cs="仿宋_GB2312"/>
          <w:u w:val="single"/>
        </w:rPr>
        <w:t xml:space="preserve"> 705</w:t>
      </w:r>
      <w:r>
        <w:rPr>
          <w:rFonts w:hint="eastAsia" w:ascii="仿宋_GB2312" w:hAnsi="仿宋_GB2312" w:eastAsia="仿宋_GB2312" w:cs="仿宋_GB2312"/>
        </w:rPr>
        <w:t>人次。主要为接待上级院业务部门来我市开庭、提审等办案工作餐支出以及上级院来院检查指导工作、检察院之间学习交流等公务活动的接待。</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u w:val="single"/>
        </w:rPr>
        <w:t>海安市人民检察院</w:t>
      </w:r>
      <w:r>
        <w:rPr>
          <w:rFonts w:ascii="仿宋_GB2312" w:hAnsi="仿宋_GB2312" w:eastAsia="仿宋_GB2312" w:cs="仿宋_GB2312"/>
        </w:rPr>
        <w:t xml:space="preserve">2017 </w:t>
      </w:r>
      <w:r>
        <w:rPr>
          <w:rFonts w:hint="eastAsia" w:ascii="仿宋_GB2312" w:hAnsi="仿宋_GB2312" w:eastAsia="仿宋_GB2312" w:cs="仿宋_GB2312"/>
        </w:rPr>
        <w:t>年度一般公共预算拨款安排的会议费决算支出</w:t>
      </w:r>
      <w:r>
        <w:rPr>
          <w:rFonts w:ascii="仿宋_GB2312" w:hAnsi="仿宋_GB2312" w:eastAsia="仿宋_GB2312" w:cs="仿宋_GB2312"/>
          <w:u w:val="single"/>
        </w:rPr>
        <w:t xml:space="preserve"> 0.97 </w:t>
      </w:r>
      <w:r>
        <w:rPr>
          <w:rFonts w:hint="eastAsia" w:ascii="仿宋_GB2312" w:hAnsi="仿宋_GB2312" w:eastAsia="仿宋_GB2312" w:cs="仿宋_GB2312"/>
        </w:rPr>
        <w:t>万元，完成预算的</w:t>
      </w:r>
      <w:r>
        <w:rPr>
          <w:rFonts w:ascii="仿宋_GB2312" w:hAnsi="仿宋_GB2312" w:eastAsia="仿宋_GB2312" w:cs="仿宋_GB2312"/>
          <w:u w:val="single"/>
        </w:rPr>
        <w:t xml:space="preserve">  24.25  </w:t>
      </w:r>
      <w:r>
        <w:rPr>
          <w:rFonts w:ascii="仿宋_GB2312" w:hAnsi="仿宋_GB2312" w:eastAsia="仿宋_GB2312" w:cs="仿宋_GB2312"/>
        </w:rPr>
        <w:t>%</w:t>
      </w:r>
      <w:r>
        <w:rPr>
          <w:rFonts w:hint="eastAsia" w:ascii="仿宋_GB2312" w:hAnsi="仿宋_GB2312" w:eastAsia="仿宋_GB2312" w:cs="仿宋_GB2312"/>
        </w:rPr>
        <w:t>，比上年决算减少</w:t>
      </w:r>
      <w:r>
        <w:rPr>
          <w:rFonts w:ascii="仿宋_GB2312" w:hAnsi="仿宋_GB2312" w:eastAsia="仿宋_GB2312" w:cs="仿宋_GB2312"/>
          <w:u w:val="single"/>
        </w:rPr>
        <w:t xml:space="preserve">  1.03 </w:t>
      </w:r>
      <w:r>
        <w:rPr>
          <w:rFonts w:hint="eastAsia" w:ascii="仿宋_GB2312" w:hAnsi="仿宋_GB2312" w:eastAsia="仿宋_GB2312" w:cs="仿宋_GB2312"/>
        </w:rPr>
        <w:t>万元，主要原因为我院严格控制会议数量和会议规模，会议费减少；决算数小于预算数的主要原因是部分会议未安排就餐，节约了会议经费。</w:t>
      </w:r>
      <w:r>
        <w:rPr>
          <w:rFonts w:ascii="仿宋_GB2312" w:hAnsi="仿宋_GB2312" w:eastAsia="仿宋_GB2312" w:cs="仿宋_GB2312"/>
        </w:rPr>
        <w:t xml:space="preserve">2017 </w:t>
      </w:r>
      <w:r>
        <w:rPr>
          <w:rFonts w:hint="eastAsia" w:ascii="仿宋_GB2312" w:hAnsi="仿宋_GB2312" w:eastAsia="仿宋_GB2312" w:cs="仿宋_GB2312"/>
        </w:rPr>
        <w:t>年度全年召开会议</w:t>
      </w:r>
      <w:r>
        <w:rPr>
          <w:rFonts w:ascii="仿宋_GB2312" w:hAnsi="仿宋_GB2312" w:eastAsia="仿宋_GB2312" w:cs="仿宋_GB2312"/>
          <w:u w:val="single"/>
        </w:rPr>
        <w:t xml:space="preserve"> 12  </w:t>
      </w:r>
      <w:r>
        <w:rPr>
          <w:rFonts w:hint="eastAsia" w:ascii="仿宋_GB2312" w:hAnsi="仿宋_GB2312" w:eastAsia="仿宋_GB2312" w:cs="仿宋_GB2312"/>
        </w:rPr>
        <w:t>个，参加会议</w:t>
      </w:r>
      <w:r>
        <w:rPr>
          <w:rFonts w:ascii="仿宋_GB2312" w:hAnsi="仿宋_GB2312" w:eastAsia="仿宋_GB2312" w:cs="仿宋_GB2312"/>
          <w:u w:val="single"/>
        </w:rPr>
        <w:t xml:space="preserve"> 216  </w:t>
      </w:r>
      <w:r>
        <w:rPr>
          <w:rFonts w:hint="eastAsia" w:ascii="仿宋_GB2312" w:hAnsi="仿宋_GB2312" w:eastAsia="仿宋_GB2312" w:cs="仿宋_GB2312"/>
        </w:rPr>
        <w:t>人次。主要为召开南通检察机关资源环境案件“三合一”工作交流会，检察机关办公室条线会议、供水领域典型职务犯罪案件剖析会、检察工作通报会等。</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u w:val="single"/>
        </w:rPr>
        <w:t>海安市人民检察院</w:t>
      </w:r>
      <w:r>
        <w:rPr>
          <w:rFonts w:ascii="仿宋_GB2312" w:hAnsi="仿宋_GB2312" w:eastAsia="仿宋_GB2312" w:cs="仿宋_GB2312"/>
        </w:rPr>
        <w:t xml:space="preserve">2017 </w:t>
      </w:r>
      <w:r>
        <w:rPr>
          <w:rFonts w:hint="eastAsia" w:ascii="仿宋_GB2312" w:hAnsi="仿宋_GB2312" w:eastAsia="仿宋_GB2312" w:cs="仿宋_GB2312"/>
        </w:rPr>
        <w:t>年度一般公共预算拨款安排的培训费决算支出</w:t>
      </w:r>
      <w:r>
        <w:rPr>
          <w:rFonts w:ascii="仿宋_GB2312" w:hAnsi="仿宋_GB2312" w:eastAsia="仿宋_GB2312" w:cs="仿宋_GB2312"/>
          <w:u w:val="single"/>
        </w:rPr>
        <w:t xml:space="preserve"> 7.97  </w:t>
      </w:r>
      <w:r>
        <w:rPr>
          <w:rFonts w:hint="eastAsia" w:ascii="仿宋_GB2312" w:hAnsi="仿宋_GB2312" w:eastAsia="仿宋_GB2312" w:cs="仿宋_GB2312"/>
        </w:rPr>
        <w:t>万元，完成预算的</w:t>
      </w:r>
      <w:r>
        <w:rPr>
          <w:rFonts w:ascii="仿宋_GB2312" w:hAnsi="仿宋_GB2312" w:eastAsia="仿宋_GB2312" w:cs="仿宋_GB2312"/>
          <w:u w:val="single"/>
        </w:rPr>
        <w:t xml:space="preserve">  66.42  </w:t>
      </w:r>
      <w:r>
        <w:rPr>
          <w:rFonts w:ascii="仿宋_GB2312" w:hAnsi="仿宋_GB2312" w:eastAsia="仿宋_GB2312" w:cs="仿宋_GB2312"/>
        </w:rPr>
        <w:t>%</w:t>
      </w:r>
      <w:r>
        <w:rPr>
          <w:rFonts w:hint="eastAsia" w:ascii="仿宋_GB2312" w:hAnsi="仿宋_GB2312" w:eastAsia="仿宋_GB2312" w:cs="仿宋_GB2312"/>
        </w:rPr>
        <w:t>，比上年决算减少</w:t>
      </w:r>
      <w:r>
        <w:rPr>
          <w:rFonts w:ascii="仿宋_GB2312" w:hAnsi="仿宋_GB2312" w:eastAsia="仿宋_GB2312" w:cs="仿宋_GB2312"/>
          <w:u w:val="single"/>
        </w:rPr>
        <w:t xml:space="preserve"> 14.39  </w:t>
      </w:r>
      <w:r>
        <w:rPr>
          <w:rFonts w:hint="eastAsia" w:ascii="仿宋_GB2312" w:hAnsi="仿宋_GB2312" w:eastAsia="仿宋_GB2312" w:cs="仿宋_GB2312"/>
        </w:rPr>
        <w:t>万元，主要原因为本部门本年度比上年减少外出培训安排；决算数小于预算数的主要原因是我院加强培训管理，严格执行培训规定，切实提高培训质效。</w:t>
      </w:r>
      <w:r>
        <w:rPr>
          <w:rFonts w:ascii="仿宋_GB2312" w:hAnsi="仿宋_GB2312" w:eastAsia="仿宋_GB2312" w:cs="仿宋_GB2312"/>
        </w:rPr>
        <w:t>2017</w:t>
      </w:r>
      <w:r>
        <w:rPr>
          <w:rFonts w:hint="eastAsia" w:ascii="仿宋_GB2312" w:hAnsi="仿宋_GB2312" w:eastAsia="仿宋_GB2312" w:cs="仿宋_GB2312"/>
        </w:rPr>
        <w:t>年度全年组织培训</w:t>
      </w:r>
      <w:r>
        <w:rPr>
          <w:rFonts w:ascii="仿宋_GB2312" w:hAnsi="仿宋_GB2312" w:eastAsia="仿宋_GB2312" w:cs="仿宋_GB2312"/>
          <w:u w:val="single"/>
        </w:rPr>
        <w:t xml:space="preserve"> 19  </w:t>
      </w:r>
      <w:r>
        <w:rPr>
          <w:rFonts w:hint="eastAsia" w:ascii="仿宋_GB2312" w:hAnsi="仿宋_GB2312" w:eastAsia="仿宋_GB2312" w:cs="仿宋_GB2312"/>
        </w:rPr>
        <w:t>个，组织培训</w:t>
      </w:r>
      <w:r>
        <w:rPr>
          <w:rFonts w:ascii="仿宋_GB2312" w:hAnsi="仿宋_GB2312" w:eastAsia="仿宋_GB2312" w:cs="仿宋_GB2312"/>
          <w:u w:val="single"/>
        </w:rPr>
        <w:t xml:space="preserve"> 215  </w:t>
      </w:r>
      <w:r>
        <w:rPr>
          <w:rFonts w:hint="eastAsia" w:ascii="仿宋_GB2312" w:hAnsi="仿宋_GB2312" w:eastAsia="仿宋_GB2312" w:cs="仿宋_GB2312"/>
        </w:rPr>
        <w:t>人次。主要为参加省、市检察院各部门条线业务培训以及地方政府组织的各类培训。</w:t>
      </w:r>
    </w:p>
    <w:p>
      <w:pPr>
        <w:spacing w:line="550" w:lineRule="exact"/>
        <w:ind w:firstLine="643" w:firstLineChars="200"/>
        <w:rPr>
          <w:rFonts w:ascii="仿宋_GB2312" w:hAnsi="仿宋_GB2312" w:eastAsia="仿宋_GB2312"/>
          <w:b/>
          <w:bCs/>
        </w:rPr>
      </w:pPr>
      <w:r>
        <w:rPr>
          <w:rFonts w:hint="eastAsia" w:ascii="仿宋_GB2312" w:hAnsi="仿宋_GB2312" w:eastAsia="仿宋_GB2312" w:cs="仿宋_GB2312"/>
          <w:b/>
          <w:bCs/>
        </w:rPr>
        <w:t>十、政府性基金预算财政拨款收入支出决算情况说明</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u w:val="single"/>
        </w:rPr>
        <w:t>海安市人民检察院</w:t>
      </w:r>
      <w:r>
        <w:rPr>
          <w:rFonts w:ascii="仿宋_GB2312" w:hAnsi="仿宋_GB2312" w:eastAsia="仿宋_GB2312" w:cs="仿宋_GB2312"/>
        </w:rPr>
        <w:t>2017</w:t>
      </w:r>
      <w:r>
        <w:rPr>
          <w:rFonts w:hint="eastAsia" w:ascii="仿宋_GB2312" w:hAnsi="仿宋_GB2312" w:eastAsia="仿宋_GB2312" w:cs="仿宋_GB2312"/>
        </w:rPr>
        <w:t>年政府性基金预算财政拨款年初结转和结余</w:t>
      </w:r>
      <w:r>
        <w:rPr>
          <w:rFonts w:ascii="仿宋_GB2312" w:hAnsi="仿宋_GB2312" w:eastAsia="仿宋_GB2312" w:cs="仿宋_GB2312"/>
          <w:u w:val="single"/>
        </w:rPr>
        <w:t xml:space="preserve">  0 </w:t>
      </w:r>
      <w:r>
        <w:rPr>
          <w:rFonts w:hint="eastAsia" w:ascii="仿宋_GB2312" w:hAnsi="仿宋_GB2312" w:eastAsia="仿宋_GB2312" w:cs="仿宋_GB2312"/>
        </w:rPr>
        <w:t>万元，本年收入决算</w:t>
      </w:r>
      <w:r>
        <w:rPr>
          <w:rFonts w:ascii="仿宋_GB2312" w:hAnsi="仿宋_GB2312" w:eastAsia="仿宋_GB2312" w:cs="仿宋_GB2312"/>
          <w:u w:val="single"/>
        </w:rPr>
        <w:t xml:space="preserve">  0 </w:t>
      </w:r>
      <w:r>
        <w:rPr>
          <w:rFonts w:hint="eastAsia" w:ascii="仿宋_GB2312" w:hAnsi="仿宋_GB2312" w:eastAsia="仿宋_GB2312" w:cs="仿宋_GB2312"/>
        </w:rPr>
        <w:t>万元，本年支出决算</w:t>
      </w:r>
      <w:r>
        <w:rPr>
          <w:rFonts w:ascii="仿宋_GB2312" w:hAnsi="仿宋_GB2312" w:eastAsia="仿宋_GB2312" w:cs="仿宋_GB2312"/>
          <w:u w:val="single"/>
        </w:rPr>
        <w:t xml:space="preserve"> 0  </w:t>
      </w:r>
      <w:r>
        <w:rPr>
          <w:rFonts w:hint="eastAsia" w:ascii="仿宋_GB2312" w:hAnsi="仿宋_GB2312" w:eastAsia="仿宋_GB2312" w:cs="仿宋_GB2312"/>
        </w:rPr>
        <w:t>万元，年末结转和结余</w:t>
      </w:r>
      <w:r>
        <w:rPr>
          <w:rFonts w:ascii="仿宋_GB2312" w:hAnsi="仿宋_GB2312" w:eastAsia="仿宋_GB2312" w:cs="仿宋_GB2312"/>
          <w:u w:val="single"/>
        </w:rPr>
        <w:t xml:space="preserve"> 0  </w:t>
      </w:r>
      <w:r>
        <w:rPr>
          <w:rFonts w:hint="eastAsia" w:ascii="仿宋_GB2312" w:hAnsi="仿宋_GB2312" w:eastAsia="仿宋_GB2312" w:cs="仿宋_GB2312"/>
        </w:rPr>
        <w:t>万元。</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本部门无政府性基金，此表为空表。</w:t>
      </w:r>
    </w:p>
    <w:p>
      <w:pPr>
        <w:spacing w:line="550" w:lineRule="exact"/>
        <w:ind w:firstLine="643" w:firstLineChars="200"/>
        <w:rPr>
          <w:rFonts w:ascii="仿宋_GB2312" w:hAnsi="仿宋_GB2312" w:eastAsia="仿宋_GB2312"/>
          <w:b/>
          <w:bCs/>
        </w:rPr>
      </w:pPr>
      <w:r>
        <w:rPr>
          <w:rFonts w:hint="eastAsia" w:ascii="仿宋_GB2312" w:hAnsi="仿宋_GB2312" w:eastAsia="仿宋_GB2312" w:cs="仿宋_GB2312"/>
          <w:b/>
          <w:bCs/>
        </w:rPr>
        <w:t>十一、机关运行经费支出决算情况说明</w:t>
      </w:r>
    </w:p>
    <w:p>
      <w:pPr>
        <w:spacing w:line="550" w:lineRule="exact"/>
        <w:ind w:firstLine="640" w:firstLineChars="200"/>
        <w:rPr>
          <w:rFonts w:ascii="仿宋_GB2312" w:hAnsi="仿宋_GB2312" w:eastAsia="仿宋_GB2312"/>
        </w:rPr>
      </w:pPr>
      <w:r>
        <w:rPr>
          <w:rFonts w:ascii="仿宋_GB2312" w:hAnsi="仿宋_GB2312" w:eastAsia="仿宋_GB2312" w:cs="仿宋_GB2312"/>
        </w:rPr>
        <w:t>2017</w:t>
      </w:r>
      <w:r>
        <w:rPr>
          <w:rFonts w:hint="eastAsia" w:ascii="仿宋_GB2312" w:hAnsi="仿宋_GB2312" w:eastAsia="仿宋_GB2312" w:cs="仿宋_GB2312"/>
        </w:rPr>
        <w:t>年本部门机关运行经费支出</w:t>
      </w:r>
      <w:r>
        <w:rPr>
          <w:rFonts w:ascii="仿宋_GB2312" w:hAnsi="仿宋_GB2312" w:eastAsia="仿宋_GB2312" w:cs="仿宋_GB2312"/>
          <w:u w:val="single"/>
        </w:rPr>
        <w:t xml:space="preserve"> 220.34 </w:t>
      </w:r>
      <w:r>
        <w:rPr>
          <w:rFonts w:hint="eastAsia" w:ascii="仿宋_GB2312" w:hAnsi="仿宋_GB2312" w:eastAsia="仿宋_GB2312" w:cs="仿宋_GB2312"/>
        </w:rPr>
        <w:t>万元，比</w:t>
      </w:r>
      <w:r>
        <w:rPr>
          <w:rFonts w:ascii="仿宋_GB2312" w:hAnsi="仿宋_GB2312" w:eastAsia="仿宋_GB2312" w:cs="仿宋_GB2312"/>
        </w:rPr>
        <w:t>2016</w:t>
      </w:r>
      <w:r>
        <w:rPr>
          <w:rFonts w:hint="eastAsia" w:ascii="仿宋_GB2312" w:hAnsi="仿宋_GB2312" w:eastAsia="仿宋_GB2312" w:cs="仿宋_GB2312"/>
        </w:rPr>
        <w:t>年减少</w:t>
      </w:r>
      <w:r>
        <w:rPr>
          <w:rFonts w:ascii="仿宋_GB2312" w:hAnsi="仿宋_GB2312" w:eastAsia="仿宋_GB2312" w:cs="仿宋_GB2312"/>
          <w:u w:val="single"/>
        </w:rPr>
        <w:t xml:space="preserve">  21.32 </w:t>
      </w:r>
      <w:r>
        <w:rPr>
          <w:rFonts w:hint="eastAsia" w:ascii="仿宋_GB2312" w:hAnsi="仿宋_GB2312" w:eastAsia="仿宋_GB2312" w:cs="仿宋_GB2312"/>
        </w:rPr>
        <w:t>万元，降低</w:t>
      </w:r>
      <w:r>
        <w:rPr>
          <w:rFonts w:ascii="仿宋_GB2312" w:hAnsi="仿宋_GB2312" w:eastAsia="仿宋_GB2312" w:cs="仿宋_GB2312"/>
          <w:u w:val="single"/>
        </w:rPr>
        <w:t xml:space="preserve">  8.82 </w:t>
      </w:r>
      <w:r>
        <w:rPr>
          <w:rFonts w:ascii="仿宋_GB2312" w:hAnsi="仿宋_GB2312" w:eastAsia="仿宋_GB2312" w:cs="仿宋_GB2312"/>
        </w:rPr>
        <w:t xml:space="preserve"> %</w:t>
      </w:r>
      <w:r>
        <w:rPr>
          <w:rFonts w:hint="eastAsia" w:ascii="仿宋_GB2312" w:hAnsi="仿宋_GB2312" w:eastAsia="仿宋_GB2312" w:cs="仿宋_GB2312"/>
        </w:rPr>
        <w:t>。主要原因是公务用车运行维护费减少</w:t>
      </w:r>
      <w:r>
        <w:rPr>
          <w:rFonts w:ascii="仿宋_GB2312" w:hAnsi="仿宋_GB2312" w:eastAsia="仿宋_GB2312" w:cs="仿宋_GB2312"/>
        </w:rPr>
        <w:t>10</w:t>
      </w:r>
      <w:r>
        <w:rPr>
          <w:rFonts w:hint="eastAsia" w:ascii="仿宋_GB2312" w:hAnsi="仿宋_GB2312" w:eastAsia="仿宋_GB2312" w:cs="仿宋_GB2312"/>
        </w:rPr>
        <w:t>万元，会议费年末调减预算指标等。</w:t>
      </w:r>
    </w:p>
    <w:p>
      <w:pPr>
        <w:spacing w:line="550" w:lineRule="exact"/>
        <w:ind w:firstLine="0"/>
        <w:rPr>
          <w:rFonts w:ascii="仿宋_GB2312" w:hAnsi="仿宋_GB2312" w:eastAsia="仿宋_GB2312"/>
          <w:b/>
          <w:bCs/>
        </w:rPr>
      </w:pPr>
      <w:r>
        <w:rPr>
          <w:rFonts w:ascii="仿宋_GB2312" w:hAnsi="仿宋_GB2312" w:eastAsia="仿宋_GB2312" w:cs="仿宋_GB2312"/>
        </w:rPr>
        <w:t xml:space="preserve">   </w:t>
      </w:r>
      <w:r>
        <w:rPr>
          <w:rFonts w:hint="eastAsia" w:ascii="仿宋_GB2312" w:hAnsi="仿宋_GB2312" w:eastAsia="仿宋_GB2312" w:cs="仿宋_GB2312"/>
          <w:b/>
          <w:bCs/>
        </w:rPr>
        <w:t>十二、政府采购支出决算情况说明</w:t>
      </w:r>
    </w:p>
    <w:p>
      <w:pPr>
        <w:spacing w:line="550" w:lineRule="exact"/>
        <w:ind w:firstLine="640" w:firstLineChars="200"/>
        <w:rPr>
          <w:rFonts w:ascii="仿宋_GB2312" w:hAnsi="仿宋_GB2312" w:eastAsia="仿宋_GB2312"/>
        </w:rPr>
      </w:pPr>
      <w:r>
        <w:rPr>
          <w:rFonts w:ascii="仿宋_GB2312" w:hAnsi="仿宋_GB2312" w:eastAsia="仿宋_GB2312" w:cs="仿宋_GB2312"/>
        </w:rPr>
        <w:t>2017</w:t>
      </w:r>
      <w:r>
        <w:rPr>
          <w:rFonts w:hint="eastAsia" w:ascii="仿宋_GB2312" w:hAnsi="仿宋_GB2312" w:eastAsia="仿宋_GB2312" w:cs="仿宋_GB2312"/>
        </w:rPr>
        <w:t>年度政府采购支出总额</w:t>
      </w:r>
      <w:r>
        <w:rPr>
          <w:rFonts w:ascii="仿宋_GB2312" w:hAnsi="仿宋_GB2312" w:eastAsia="仿宋_GB2312" w:cs="仿宋_GB2312"/>
          <w:u w:val="single"/>
        </w:rPr>
        <w:t xml:space="preserve"> 159.02  </w:t>
      </w:r>
      <w:r>
        <w:rPr>
          <w:rFonts w:hint="eastAsia" w:ascii="仿宋_GB2312" w:hAnsi="仿宋_GB2312" w:eastAsia="仿宋_GB2312" w:cs="仿宋_GB2312"/>
        </w:rPr>
        <w:t>万元，其中：政府采购货物支出</w:t>
      </w:r>
      <w:r>
        <w:rPr>
          <w:rFonts w:ascii="仿宋_GB2312" w:hAnsi="仿宋_GB2312" w:eastAsia="仿宋_GB2312" w:cs="仿宋_GB2312"/>
          <w:u w:val="single"/>
        </w:rPr>
        <w:t xml:space="preserve"> 105.65  </w:t>
      </w:r>
      <w:r>
        <w:rPr>
          <w:rFonts w:hint="eastAsia" w:ascii="仿宋_GB2312" w:hAnsi="仿宋_GB2312" w:eastAsia="仿宋_GB2312" w:cs="仿宋_GB2312"/>
        </w:rPr>
        <w:t>万元、政府采购工程支出</w:t>
      </w:r>
      <w:r>
        <w:rPr>
          <w:rFonts w:ascii="仿宋_GB2312" w:hAnsi="仿宋_GB2312" w:eastAsia="仿宋_GB2312" w:cs="仿宋_GB2312"/>
          <w:u w:val="single"/>
        </w:rPr>
        <w:t xml:space="preserve"> 30.00  </w:t>
      </w:r>
      <w:r>
        <w:rPr>
          <w:rFonts w:hint="eastAsia" w:ascii="仿宋_GB2312" w:hAnsi="仿宋_GB2312" w:eastAsia="仿宋_GB2312" w:cs="仿宋_GB2312"/>
        </w:rPr>
        <w:t>万元、政府采购服务支出</w:t>
      </w:r>
      <w:r>
        <w:rPr>
          <w:rFonts w:ascii="仿宋_GB2312" w:hAnsi="仿宋_GB2312" w:eastAsia="仿宋_GB2312" w:cs="仿宋_GB2312"/>
          <w:u w:val="single"/>
        </w:rPr>
        <w:t xml:space="preserve"> 23.37</w:t>
      </w:r>
      <w:r>
        <w:rPr>
          <w:rFonts w:hint="eastAsia" w:ascii="仿宋_GB2312" w:hAnsi="仿宋_GB2312" w:eastAsia="仿宋_GB2312" w:cs="仿宋_GB2312"/>
        </w:rPr>
        <w:t>万元。授予中小企业合同金额</w:t>
      </w:r>
      <w:r>
        <w:rPr>
          <w:rFonts w:ascii="仿宋_GB2312" w:hAnsi="仿宋_GB2312" w:eastAsia="仿宋_GB2312" w:cs="仿宋_GB2312"/>
          <w:u w:val="single"/>
        </w:rPr>
        <w:t>159.02</w:t>
      </w:r>
      <w:r>
        <w:rPr>
          <w:rFonts w:hint="eastAsia" w:ascii="仿宋_GB2312" w:hAnsi="仿宋_GB2312" w:eastAsia="仿宋_GB2312" w:cs="仿宋_GB2312"/>
        </w:rPr>
        <w:t>万元，占政府采购支出总额的</w:t>
      </w:r>
      <w:r>
        <w:rPr>
          <w:rFonts w:ascii="仿宋_GB2312" w:hAnsi="仿宋_GB2312" w:eastAsia="仿宋_GB2312" w:cs="仿宋_GB2312"/>
          <w:u w:val="single"/>
        </w:rPr>
        <w:t xml:space="preserve"> 100.00 </w:t>
      </w:r>
      <w:r>
        <w:rPr>
          <w:rFonts w:ascii="仿宋_GB2312" w:hAnsi="仿宋_GB2312" w:eastAsia="仿宋_GB2312" w:cs="仿宋_GB2312"/>
        </w:rPr>
        <w:t>%</w:t>
      </w:r>
      <w:r>
        <w:rPr>
          <w:rFonts w:hint="eastAsia" w:ascii="仿宋_GB2312" w:hAnsi="仿宋_GB2312" w:eastAsia="仿宋_GB2312" w:cs="仿宋_GB2312"/>
        </w:rPr>
        <w:t>，其中：授予小微企业合同金额</w:t>
      </w:r>
      <w:r>
        <w:rPr>
          <w:rFonts w:ascii="仿宋_GB2312" w:hAnsi="仿宋_GB2312" w:eastAsia="仿宋_GB2312" w:cs="仿宋_GB2312"/>
          <w:u w:val="single"/>
        </w:rPr>
        <w:t xml:space="preserve"> 129.02</w:t>
      </w:r>
      <w:r>
        <w:rPr>
          <w:rFonts w:hint="eastAsia" w:ascii="仿宋_GB2312" w:hAnsi="仿宋_GB2312" w:eastAsia="仿宋_GB2312" w:cs="仿宋_GB2312"/>
        </w:rPr>
        <w:t>万元，占政府采购支出总额的</w:t>
      </w:r>
      <w:r>
        <w:rPr>
          <w:rFonts w:ascii="仿宋_GB2312" w:hAnsi="仿宋_GB2312" w:eastAsia="仿宋_GB2312" w:cs="仿宋_GB2312"/>
          <w:u w:val="single"/>
        </w:rPr>
        <w:t xml:space="preserve"> 81.13 </w:t>
      </w:r>
      <w:r>
        <w:rPr>
          <w:rFonts w:ascii="仿宋_GB2312" w:hAnsi="仿宋_GB2312" w:eastAsia="仿宋_GB2312" w:cs="仿宋_GB2312"/>
        </w:rPr>
        <w:t>%</w:t>
      </w:r>
      <w:r>
        <w:rPr>
          <w:rFonts w:hint="eastAsia" w:ascii="仿宋_GB2312" w:hAnsi="仿宋_GB2312" w:eastAsia="仿宋_GB2312" w:cs="仿宋_GB2312"/>
        </w:rPr>
        <w:t>。</w:t>
      </w:r>
    </w:p>
    <w:p>
      <w:pPr>
        <w:spacing w:line="550" w:lineRule="exact"/>
        <w:ind w:firstLine="643" w:firstLineChars="200"/>
        <w:rPr>
          <w:rFonts w:ascii="仿宋_GB2312" w:hAnsi="仿宋_GB2312" w:eastAsia="仿宋_GB2312"/>
          <w:b/>
          <w:bCs/>
        </w:rPr>
      </w:pPr>
      <w:r>
        <w:rPr>
          <w:rFonts w:hint="eastAsia" w:ascii="仿宋_GB2312" w:hAnsi="仿宋_GB2312" w:eastAsia="仿宋_GB2312" w:cs="仿宋_GB2312"/>
          <w:b/>
          <w:bCs/>
        </w:rPr>
        <w:t>十三、其他重要事项说明</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（一）国有资产占用情况</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截至</w:t>
      </w:r>
      <w:r>
        <w:rPr>
          <w:rFonts w:ascii="仿宋_GB2312" w:hAnsi="仿宋_GB2312" w:eastAsia="仿宋_GB2312" w:cs="仿宋_GB2312"/>
        </w:rPr>
        <w:t>2017</w:t>
      </w:r>
      <w:r>
        <w:rPr>
          <w:rFonts w:hint="eastAsia" w:ascii="仿宋_GB2312" w:hAnsi="仿宋_GB2312" w:eastAsia="仿宋_GB2312" w:cs="仿宋_GB2312"/>
        </w:rPr>
        <w:t>年</w:t>
      </w:r>
      <w:r>
        <w:rPr>
          <w:rFonts w:ascii="仿宋_GB2312" w:hAnsi="仿宋_GB2312" w:eastAsia="仿宋_GB2312" w:cs="仿宋_GB2312"/>
        </w:rPr>
        <w:t>12</w:t>
      </w:r>
      <w:r>
        <w:rPr>
          <w:rFonts w:hint="eastAsia" w:ascii="仿宋_GB2312" w:hAnsi="仿宋_GB2312" w:eastAsia="仿宋_GB2312" w:cs="仿宋_GB2312"/>
        </w:rPr>
        <w:t>月</w:t>
      </w:r>
      <w:r>
        <w:rPr>
          <w:rFonts w:ascii="仿宋_GB2312" w:hAnsi="仿宋_GB2312" w:eastAsia="仿宋_GB2312" w:cs="仿宋_GB2312"/>
        </w:rPr>
        <w:t>31</w:t>
      </w:r>
      <w:r>
        <w:rPr>
          <w:rFonts w:hint="eastAsia" w:ascii="仿宋_GB2312" w:hAnsi="仿宋_GB2312" w:eastAsia="仿宋_GB2312" w:cs="仿宋_GB2312"/>
        </w:rPr>
        <w:t>日，本部门共有车辆</w:t>
      </w:r>
      <w:r>
        <w:rPr>
          <w:rFonts w:ascii="仿宋_GB2312" w:hAnsi="仿宋_GB2312" w:eastAsia="仿宋_GB2312" w:cs="仿宋_GB2312"/>
          <w:u w:val="single"/>
        </w:rPr>
        <w:t xml:space="preserve"> 17 </w:t>
      </w:r>
      <w:r>
        <w:rPr>
          <w:rFonts w:hint="eastAsia" w:ascii="仿宋_GB2312" w:hAnsi="仿宋_GB2312" w:eastAsia="仿宋_GB2312" w:cs="仿宋_GB2312"/>
        </w:rPr>
        <w:t>辆，其中，省部级领导干部用车</w:t>
      </w:r>
      <w:r>
        <w:rPr>
          <w:rFonts w:ascii="仿宋_GB2312" w:hAnsi="仿宋_GB2312" w:eastAsia="仿宋_GB2312" w:cs="仿宋_GB2312"/>
          <w:u w:val="single"/>
        </w:rPr>
        <w:t xml:space="preserve"> 0 </w:t>
      </w:r>
      <w:r>
        <w:rPr>
          <w:rFonts w:hint="eastAsia" w:ascii="仿宋_GB2312" w:hAnsi="仿宋_GB2312" w:eastAsia="仿宋_GB2312" w:cs="仿宋_GB2312"/>
        </w:rPr>
        <w:t>辆、</w:t>
      </w:r>
      <w:r>
        <w:rPr>
          <w:rFonts w:hint="eastAsia" w:ascii="仿宋_GB2312" w:hAnsi="仿宋_GB2312" w:eastAsia="仿宋_GB2312" w:cs="仿宋_GB2312"/>
          <w:kern w:val="2"/>
        </w:rPr>
        <w:t>厅级领导干部用车</w:t>
      </w:r>
      <w:r>
        <w:rPr>
          <w:rFonts w:ascii="仿宋_GB2312" w:hAnsi="仿宋_GB2312" w:eastAsia="仿宋_GB2312" w:cs="仿宋_GB2312"/>
          <w:u w:val="single"/>
        </w:rPr>
        <w:t xml:space="preserve"> 0 </w:t>
      </w:r>
      <w:r>
        <w:rPr>
          <w:rFonts w:hint="eastAsia" w:ascii="仿宋_GB2312" w:hAnsi="仿宋_GB2312" w:eastAsia="仿宋_GB2312" w:cs="仿宋_GB2312"/>
        </w:rPr>
        <w:t>辆、一般公务用车</w:t>
      </w:r>
      <w:r>
        <w:rPr>
          <w:rFonts w:ascii="仿宋_GB2312" w:hAnsi="仿宋_GB2312" w:eastAsia="仿宋_GB2312" w:cs="仿宋_GB2312"/>
          <w:u w:val="single"/>
        </w:rPr>
        <w:t xml:space="preserve"> 2 </w:t>
      </w:r>
      <w:r>
        <w:rPr>
          <w:rFonts w:hint="eastAsia" w:ascii="仿宋_GB2312" w:hAnsi="仿宋_GB2312" w:eastAsia="仿宋_GB2312" w:cs="仿宋_GB2312"/>
        </w:rPr>
        <w:t>辆、一般执法执勤用车</w:t>
      </w:r>
      <w:r>
        <w:rPr>
          <w:rFonts w:ascii="仿宋_GB2312" w:hAnsi="仿宋_GB2312" w:eastAsia="仿宋_GB2312" w:cs="仿宋_GB2312"/>
          <w:u w:val="single"/>
        </w:rPr>
        <w:t xml:space="preserve"> 14 </w:t>
      </w:r>
      <w:r>
        <w:rPr>
          <w:rFonts w:hint="eastAsia" w:ascii="仿宋_GB2312" w:hAnsi="仿宋_GB2312" w:eastAsia="仿宋_GB2312" w:cs="仿宋_GB2312"/>
        </w:rPr>
        <w:t>辆、特种专业技术用车</w:t>
      </w:r>
      <w:r>
        <w:rPr>
          <w:rFonts w:ascii="仿宋_GB2312" w:hAnsi="仿宋_GB2312" w:eastAsia="仿宋_GB2312" w:cs="仿宋_GB2312"/>
          <w:u w:val="single"/>
        </w:rPr>
        <w:t xml:space="preserve"> 1 </w:t>
      </w:r>
      <w:r>
        <w:rPr>
          <w:rFonts w:hint="eastAsia" w:ascii="仿宋_GB2312" w:hAnsi="仿宋_GB2312" w:eastAsia="仿宋_GB2312" w:cs="仿宋_GB2312"/>
        </w:rPr>
        <w:t>辆、其他用车</w:t>
      </w:r>
      <w:r>
        <w:rPr>
          <w:rFonts w:ascii="仿宋_GB2312" w:hAnsi="仿宋_GB2312" w:eastAsia="仿宋_GB2312" w:cs="仿宋_GB2312"/>
          <w:u w:val="single"/>
        </w:rPr>
        <w:t xml:space="preserve"> 0 </w:t>
      </w:r>
      <w:r>
        <w:rPr>
          <w:rFonts w:hint="eastAsia" w:ascii="仿宋_GB2312" w:hAnsi="仿宋_GB2312" w:eastAsia="仿宋_GB2312" w:cs="仿宋_GB2312"/>
        </w:rPr>
        <w:t>辆；单价</w:t>
      </w:r>
      <w:r>
        <w:rPr>
          <w:rFonts w:ascii="仿宋_GB2312" w:hAnsi="仿宋_GB2312" w:eastAsia="仿宋_GB2312" w:cs="仿宋_GB2312"/>
        </w:rPr>
        <w:t>50</w:t>
      </w:r>
      <w:r>
        <w:rPr>
          <w:rFonts w:hint="eastAsia" w:ascii="仿宋_GB2312" w:hAnsi="仿宋_GB2312" w:eastAsia="仿宋_GB2312" w:cs="仿宋_GB2312"/>
        </w:rPr>
        <w:t>万元（含）以上的通用设备</w:t>
      </w:r>
      <w:r>
        <w:rPr>
          <w:rFonts w:ascii="仿宋_GB2312" w:hAnsi="仿宋_GB2312" w:eastAsia="仿宋_GB2312" w:cs="仿宋_GB2312"/>
          <w:u w:val="single"/>
        </w:rPr>
        <w:t xml:space="preserve"> 0 </w:t>
      </w:r>
      <w:r>
        <w:rPr>
          <w:rFonts w:hint="eastAsia" w:ascii="仿宋_GB2312" w:hAnsi="仿宋_GB2312" w:eastAsia="仿宋_GB2312" w:cs="仿宋_GB2312"/>
        </w:rPr>
        <w:t>台（套）；单价</w:t>
      </w:r>
      <w:r>
        <w:rPr>
          <w:rFonts w:ascii="仿宋_GB2312" w:hAnsi="仿宋_GB2312" w:eastAsia="仿宋_GB2312" w:cs="仿宋_GB2312"/>
        </w:rPr>
        <w:t>100</w:t>
      </w:r>
      <w:r>
        <w:rPr>
          <w:rFonts w:hint="eastAsia" w:ascii="仿宋_GB2312" w:hAnsi="仿宋_GB2312" w:eastAsia="仿宋_GB2312" w:cs="仿宋_GB2312"/>
        </w:rPr>
        <w:t>万元（含）以上的专用设备</w:t>
      </w:r>
      <w:r>
        <w:rPr>
          <w:rFonts w:ascii="仿宋_GB2312" w:hAnsi="仿宋_GB2312" w:eastAsia="仿宋_GB2312" w:cs="仿宋_GB2312"/>
          <w:u w:val="single"/>
        </w:rPr>
        <w:t xml:space="preserve"> 0 </w:t>
      </w:r>
      <w:r>
        <w:rPr>
          <w:rFonts w:hint="eastAsia" w:ascii="仿宋_GB2312" w:hAnsi="仿宋_GB2312" w:eastAsia="仿宋_GB2312" w:cs="仿宋_GB2312"/>
        </w:rPr>
        <w:t>台（套）。</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（二）预算绩效评价工作开展情况</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本部门</w:t>
      </w:r>
      <w:r>
        <w:rPr>
          <w:rFonts w:ascii="仿宋_GB2312" w:hAnsi="仿宋_GB2312" w:eastAsia="仿宋_GB2312" w:cs="仿宋_GB2312"/>
        </w:rPr>
        <w:t>2017</w:t>
      </w:r>
      <w:r>
        <w:rPr>
          <w:rFonts w:hint="eastAsia" w:ascii="仿宋_GB2312" w:hAnsi="仿宋_GB2312" w:eastAsia="仿宋_GB2312" w:cs="仿宋_GB2312"/>
        </w:rPr>
        <w:t>年度共</w:t>
      </w:r>
      <w:r>
        <w:rPr>
          <w:rFonts w:ascii="仿宋_GB2312" w:hAnsi="仿宋_GB2312" w:eastAsia="仿宋_GB2312" w:cs="仿宋_GB2312"/>
          <w:u w:val="single"/>
        </w:rPr>
        <w:t xml:space="preserve">  0 </w:t>
      </w:r>
      <w:r>
        <w:rPr>
          <w:rFonts w:hint="eastAsia" w:ascii="仿宋_GB2312" w:hAnsi="仿宋_GB2312" w:eastAsia="仿宋_GB2312" w:cs="仿宋_GB2312"/>
        </w:rPr>
        <w:t>个项目开展了绩效评价工作，涉及财政性资金合计</w:t>
      </w:r>
      <w:r>
        <w:rPr>
          <w:rFonts w:ascii="仿宋_GB2312" w:hAnsi="仿宋_GB2312" w:eastAsia="仿宋_GB2312" w:cs="仿宋_GB2312"/>
          <w:u w:val="single"/>
        </w:rPr>
        <w:t xml:space="preserve"> 0  </w:t>
      </w:r>
      <w:r>
        <w:rPr>
          <w:rFonts w:hint="eastAsia" w:ascii="仿宋_GB2312" w:hAnsi="仿宋_GB2312" w:eastAsia="仿宋_GB2312" w:cs="仿宋_GB2312"/>
        </w:rPr>
        <w:t>万元。</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（三）国有资本预算收支决算情况</w:t>
      </w:r>
    </w:p>
    <w:p>
      <w:pPr>
        <w:spacing w:line="550" w:lineRule="exact"/>
        <w:ind w:firstLine="640" w:firstLineChars="200"/>
      </w:pPr>
      <w:r>
        <w:rPr>
          <w:rFonts w:hint="eastAsia" w:ascii="仿宋_GB2312" w:hAnsi="仿宋_GB2312" w:eastAsia="仿宋_GB2312" w:cs="仿宋_GB2312"/>
        </w:rPr>
        <w:t>本部门</w:t>
      </w:r>
      <w:r>
        <w:rPr>
          <w:rFonts w:ascii="仿宋_GB2312" w:hAnsi="仿宋_GB2312" w:eastAsia="仿宋_GB2312" w:cs="仿宋_GB2312"/>
        </w:rPr>
        <w:t>2017</w:t>
      </w:r>
      <w:r>
        <w:rPr>
          <w:rFonts w:hint="eastAsia" w:ascii="仿宋_GB2312" w:hAnsi="仿宋_GB2312" w:eastAsia="仿宋_GB2312" w:cs="仿宋_GB2312"/>
        </w:rPr>
        <w:t>年度国有资本经营预算收入决算</w:t>
      </w:r>
      <w:r>
        <w:rPr>
          <w:rFonts w:ascii="仿宋_GB2312" w:hAnsi="仿宋_GB2312" w:eastAsia="仿宋_GB2312" w:cs="仿宋_GB2312"/>
          <w:u w:val="single"/>
        </w:rPr>
        <w:t xml:space="preserve">  0  </w:t>
      </w:r>
      <w:r>
        <w:rPr>
          <w:rFonts w:hint="eastAsia" w:ascii="仿宋_GB2312" w:hAnsi="仿宋_GB2312" w:eastAsia="仿宋_GB2312" w:cs="仿宋_GB2312"/>
        </w:rPr>
        <w:t>万元，比</w:t>
      </w:r>
      <w:r>
        <w:rPr>
          <w:rFonts w:ascii="仿宋_GB2312" w:hAnsi="仿宋_GB2312" w:eastAsia="仿宋_GB2312" w:cs="仿宋_GB2312"/>
        </w:rPr>
        <w:t>2016</w:t>
      </w:r>
      <w:r>
        <w:rPr>
          <w:rFonts w:hint="eastAsia" w:ascii="仿宋_GB2312" w:hAnsi="仿宋_GB2312" w:eastAsia="仿宋_GB2312" w:cs="仿宋_GB2312"/>
        </w:rPr>
        <w:t>年增加（减少）</w:t>
      </w:r>
      <w:r>
        <w:rPr>
          <w:rFonts w:ascii="仿宋_GB2312" w:hAnsi="仿宋_GB2312" w:eastAsia="仿宋_GB2312" w:cs="仿宋_GB2312"/>
          <w:u w:val="single"/>
        </w:rPr>
        <w:t xml:space="preserve">  0 </w:t>
      </w:r>
      <w:r>
        <w:rPr>
          <w:rFonts w:hint="eastAsia" w:ascii="仿宋_GB2312" w:hAnsi="仿宋_GB2312" w:eastAsia="仿宋_GB2312" w:cs="仿宋_GB2312"/>
        </w:rPr>
        <w:t>万元。支出决算</w:t>
      </w:r>
      <w:r>
        <w:rPr>
          <w:rFonts w:ascii="仿宋_GB2312" w:hAnsi="仿宋_GB2312" w:eastAsia="仿宋_GB2312" w:cs="仿宋_GB2312"/>
          <w:u w:val="single"/>
        </w:rPr>
        <w:t xml:space="preserve"> 0 </w:t>
      </w:r>
      <w:r>
        <w:rPr>
          <w:rFonts w:hint="eastAsia" w:ascii="仿宋_GB2312" w:hAnsi="仿宋_GB2312" w:eastAsia="仿宋_GB2312" w:cs="仿宋_GB2312"/>
        </w:rPr>
        <w:t>万元，比</w:t>
      </w:r>
      <w:r>
        <w:rPr>
          <w:rFonts w:ascii="仿宋_GB2312" w:hAnsi="仿宋_GB2312" w:eastAsia="仿宋_GB2312" w:cs="仿宋_GB2312"/>
        </w:rPr>
        <w:t>2016</w:t>
      </w:r>
      <w:r>
        <w:rPr>
          <w:rFonts w:hint="eastAsia" w:ascii="仿宋_GB2312" w:hAnsi="仿宋_GB2312" w:eastAsia="仿宋_GB2312" w:cs="仿宋_GB2312"/>
        </w:rPr>
        <w:t>年增加</w:t>
      </w:r>
      <w:r>
        <w:rPr>
          <w:rFonts w:ascii="仿宋_GB2312" w:hAnsi="仿宋_GB2312" w:eastAsia="仿宋_GB2312" w:cs="仿宋_GB2312"/>
          <w:u w:val="single"/>
        </w:rPr>
        <w:t xml:space="preserve"> 0  </w:t>
      </w:r>
      <w:r>
        <w:rPr>
          <w:rFonts w:hint="eastAsia" w:ascii="仿宋_GB2312" w:hAnsi="仿宋_GB2312" w:eastAsia="仿宋_GB2312" w:cs="仿宋_GB2312"/>
        </w:rPr>
        <w:t>万元。本部门无国有资本经营预算收支。</w:t>
      </w:r>
    </w:p>
    <w:p>
      <w:pPr>
        <w:spacing w:before="100" w:beforeAutospacing="1" w:after="100" w:afterAutospacing="1" w:line="550" w:lineRule="exact"/>
      </w:pPr>
      <w:r>
        <w:t xml:space="preserve">      </w:t>
      </w:r>
    </w:p>
    <w:p>
      <w:pPr>
        <w:spacing w:before="100" w:beforeAutospacing="1" w:after="100" w:afterAutospacing="1" w:line="550" w:lineRule="exact"/>
      </w:pPr>
    </w:p>
    <w:p>
      <w:pPr>
        <w:spacing w:before="100" w:beforeAutospacing="1" w:after="100" w:afterAutospacing="1" w:line="550" w:lineRule="exact"/>
      </w:pPr>
    </w:p>
    <w:p>
      <w:pPr>
        <w:spacing w:before="100" w:beforeAutospacing="1" w:after="100" w:afterAutospacing="1" w:line="550" w:lineRule="exact"/>
      </w:pPr>
    </w:p>
    <w:p>
      <w:pPr>
        <w:spacing w:before="100" w:beforeAutospacing="1" w:after="100" w:afterAutospacing="1" w:line="550" w:lineRule="exact"/>
      </w:pPr>
    </w:p>
    <w:p>
      <w:pPr>
        <w:spacing w:before="100" w:beforeAutospacing="1" w:after="100" w:afterAutospacing="1" w:line="550" w:lineRule="exact"/>
      </w:pPr>
    </w:p>
    <w:p>
      <w:pPr>
        <w:spacing w:before="100" w:beforeAutospacing="1" w:after="100" w:afterAutospacing="1" w:line="550" w:lineRule="exact"/>
      </w:pPr>
    </w:p>
    <w:p>
      <w:pPr>
        <w:spacing w:before="100" w:beforeAutospacing="1" w:after="100" w:afterAutospacing="1" w:line="550" w:lineRule="exact"/>
      </w:pPr>
    </w:p>
    <w:p>
      <w:pPr>
        <w:spacing w:before="100" w:beforeAutospacing="1" w:after="100" w:afterAutospacing="1" w:line="550" w:lineRule="exact"/>
      </w:pPr>
    </w:p>
    <w:p>
      <w:pPr>
        <w:spacing w:before="100" w:beforeAutospacing="1" w:after="100" w:afterAutospacing="1" w:line="550" w:lineRule="exact"/>
      </w:pPr>
    </w:p>
    <w:p>
      <w:pPr>
        <w:spacing w:before="100" w:beforeAutospacing="1" w:after="100" w:afterAutospacing="1" w:line="550" w:lineRule="exact"/>
      </w:pPr>
    </w:p>
    <w:p>
      <w:pPr>
        <w:spacing w:before="100" w:beforeAutospacing="1" w:after="100" w:afterAutospacing="1" w:line="550" w:lineRule="exact"/>
      </w:pPr>
    </w:p>
    <w:p>
      <w:pPr>
        <w:spacing w:before="100" w:beforeAutospacing="1" w:after="100" w:afterAutospacing="1" w:line="550" w:lineRule="exact"/>
      </w:pPr>
    </w:p>
    <w:p>
      <w:pPr>
        <w:spacing w:before="100" w:beforeAutospacing="1" w:after="100" w:afterAutospacing="1" w:line="550" w:lineRule="exact"/>
      </w:pPr>
    </w:p>
    <w:p>
      <w:pPr>
        <w:spacing w:before="100" w:beforeAutospacing="1" w:after="100" w:afterAutospacing="1" w:line="550" w:lineRule="exact"/>
      </w:pPr>
    </w:p>
    <w:p>
      <w:pPr>
        <w:spacing w:before="100" w:beforeAutospacing="1" w:after="100" w:afterAutospacing="1" w:line="550" w:lineRule="exact"/>
        <w:ind w:firstLine="0"/>
        <w:jc w:val="center"/>
        <w:rPr>
          <w:rFonts w:ascii="黑体" w:hAnsi="黑体" w:eastAsia="黑体"/>
          <w:sz w:val="36"/>
          <w:szCs w:val="36"/>
        </w:rPr>
      </w:pPr>
      <w:r>
        <w:rPr>
          <w:rFonts w:hint="eastAsia" w:ascii="黑体" w:hAnsi="黑体" w:eastAsia="黑体" w:cs="黑体"/>
          <w:sz w:val="36"/>
          <w:szCs w:val="36"/>
        </w:rPr>
        <w:t>第四部分　名词解释</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一、财政拨款收入：指单位本年度从财政部门取得的财政拨款。</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二、上级补助收入：指事业单位从主管部门和上级单位取得的非财政补助收入。</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三、事业收入：指事业单位开展专业业务活动及其辅助活动取得的收入，事业单位收到的财政专户实际核拨的教育收费等资金在此反映。</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四、经营收入：指事业单位在专业业务活动及其辅助活动之外开展非独立核算经营活动取得的收入。</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五、附属单位缴款：指事业单位附属独立核算单位按照有关规定上缴的收入。</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六、其他收入：指单位取得的除上述“财政拨款收入”、“事业收入”、“经营收入”等以外的各项收入。</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七、用事业基金弥补收支差额：指事业单位用事业基金弥补当年收支差额的数额。</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八、年初结转和结余：指单位上年结转本年使用的基本支出结转、项目支出结转和结余和经营结余。</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九、结余分配：指事业单位按规定对非财政补助结余资金提取的职工福利基金、事业基金和缴纳的所得税，以及减少单位按规定应缴回的基本建设竣工项目结余资金。</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十、年末结转和结余资金：指本年度或以前年度预算安排、因客观条件发生变化无法按原计划实施，需要延迟到以后年度按有关规定继续使用的资金。</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十一、基本支出：指为保障机构正常运转、完成日常工作任务而发生的人员支出和公用支出。</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十二、项目支出：指在基本支出之外为完成特定的行政任务或事业发展目标所发生的支出。</w:t>
      </w:r>
    </w:p>
    <w:p>
      <w:pPr>
        <w:spacing w:line="550" w:lineRule="exact"/>
        <w:ind w:firstLine="640" w:firstLineChars="200"/>
        <w:rPr>
          <w:rFonts w:ascii="仿宋_GB2312" w:hAnsi="仿宋_GB2312" w:eastAsia="仿宋_GB2312"/>
          <w:i/>
          <w:iCs/>
        </w:rPr>
      </w:pPr>
      <w:r>
        <w:rPr>
          <w:rFonts w:hint="eastAsia" w:ascii="仿宋_GB2312" w:hAnsi="仿宋_GB2312" w:eastAsia="仿宋_GB2312" w:cs="仿宋_GB2312"/>
        </w:rPr>
        <w:t>十三、上缴上级支出：指事业单位按照财政部门和主管部门的规定上缴上级单位的支出。</w:t>
      </w:r>
    </w:p>
    <w:p>
      <w:pPr>
        <w:spacing w:line="550" w:lineRule="exact"/>
        <w:ind w:firstLine="640" w:firstLineChars="200"/>
        <w:rPr>
          <w:rFonts w:ascii="仿宋_GB2312" w:hAnsi="仿宋_GB2312" w:eastAsia="仿宋_GB2312"/>
          <w:b/>
          <w:bCs/>
        </w:rPr>
      </w:pPr>
      <w:r>
        <w:rPr>
          <w:rFonts w:hint="eastAsia" w:ascii="仿宋_GB2312" w:hAnsi="仿宋_GB2312" w:eastAsia="仿宋_GB2312" w:cs="仿宋_GB2312"/>
        </w:rPr>
        <w:t>十四、经营支出：指事业单位在专业业务活动及其辅助活动之外开展非独立核算经营活动发生的支出。</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十五、对附属单位补助支出：指事业单位用财政补助收入之外的收入对附属单位补助发生的支出。</w:t>
      </w:r>
    </w:p>
    <w:p>
      <w:pPr>
        <w:spacing w:line="550" w:lineRule="exact"/>
        <w:ind w:firstLine="640" w:firstLineChars="200"/>
        <w:rPr>
          <w:rFonts w:ascii="仿宋_GB2312" w:hAnsi="仿宋_GB2312" w:eastAsia="仿宋_GB2312"/>
          <w:b/>
          <w:bCs/>
        </w:rPr>
      </w:pPr>
      <w:r>
        <w:rPr>
          <w:rFonts w:hint="eastAsia" w:ascii="仿宋_GB2312" w:hAnsi="仿宋_GB2312" w:eastAsia="仿宋_GB2312" w:cs="仿宋_GB2312"/>
        </w:rPr>
        <w:t>十六、“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spacing w:line="550" w:lineRule="exact"/>
        <w:ind w:firstLine="640" w:firstLineChars="200"/>
        <w:rPr>
          <w:rFonts w:ascii="仿宋_GB2312" w:hAnsi="仿宋_GB2312" w:eastAsia="仿宋_GB2312"/>
        </w:rPr>
      </w:pPr>
      <w:r>
        <w:rPr>
          <w:rFonts w:hint="eastAsia" w:ascii="仿宋_GB2312" w:hAnsi="仿宋_GB2312" w:eastAsia="仿宋_GB2312" w:cs="仿宋_GB2312"/>
        </w:rPr>
        <w:t>十七、机关运行经费：指各部门的公用经费，包括办公及印刷费、邮电费、差旅费、会议费、福利费、日常维修费、专用材料及一般设备购置费、办公用房水电费、办公用房取暖费、办公用房物业管理费、公务用车运行维护费及其他费用。在财政部有明确规定前，“机关运行经费”暂指行政单位（含参照公务员法管理的事业单位）使用一般公共预算安排的基本支出中的“商品和服务支出”经费。</w:t>
      </w:r>
    </w:p>
    <w:p>
      <w:pPr>
        <w:ind w:firstLine="0"/>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41</w:t>
    </w:r>
    <w:r>
      <w:rPr>
        <w:rStyle w:val="7"/>
      </w:rPr>
      <w:fldChar w:fldCharType="end"/>
    </w:r>
  </w:p>
  <w:p>
    <w:pPr>
      <w:pStyle w:val="4"/>
      <w:framePr w:wrap="around" w:vAnchor="text" w:hAnchor="margin" w:xAlign="right" w:y="1"/>
      <w:rPr>
        <w:rStyle w:val="7"/>
      </w:rPr>
    </w:pP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1BE"/>
    <w:multiLevelType w:val="multilevel"/>
    <w:tmpl w:val="075D31BE"/>
    <w:lvl w:ilvl="0" w:tentative="0">
      <w:start w:val="5"/>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FB0A06"/>
    <w:multiLevelType w:val="multilevel"/>
    <w:tmpl w:val="1FFB0A06"/>
    <w:lvl w:ilvl="0" w:tentative="0">
      <w:start w:val="10"/>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7DB6CBA"/>
    <w:multiLevelType w:val="multilevel"/>
    <w:tmpl w:val="47DB6CB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BF7"/>
    <w:rsid w:val="00005C5B"/>
    <w:rsid w:val="00011BF7"/>
    <w:rsid w:val="00024A16"/>
    <w:rsid w:val="000350B0"/>
    <w:rsid w:val="000744B1"/>
    <w:rsid w:val="00092CE9"/>
    <w:rsid w:val="000B0F51"/>
    <w:rsid w:val="000B6FF1"/>
    <w:rsid w:val="000C1348"/>
    <w:rsid w:val="000D38A0"/>
    <w:rsid w:val="000E6A83"/>
    <w:rsid w:val="001019C5"/>
    <w:rsid w:val="001034D3"/>
    <w:rsid w:val="0010796E"/>
    <w:rsid w:val="00113068"/>
    <w:rsid w:val="00120E5A"/>
    <w:rsid w:val="00122782"/>
    <w:rsid w:val="00131DA3"/>
    <w:rsid w:val="00135C63"/>
    <w:rsid w:val="001573BB"/>
    <w:rsid w:val="001802C0"/>
    <w:rsid w:val="00187AFB"/>
    <w:rsid w:val="001C3B87"/>
    <w:rsid w:val="001E1496"/>
    <w:rsid w:val="001F2614"/>
    <w:rsid w:val="0024046F"/>
    <w:rsid w:val="00242CEB"/>
    <w:rsid w:val="00245724"/>
    <w:rsid w:val="0026360A"/>
    <w:rsid w:val="0026627F"/>
    <w:rsid w:val="0027625A"/>
    <w:rsid w:val="002C1098"/>
    <w:rsid w:val="002D3C1A"/>
    <w:rsid w:val="002F3A13"/>
    <w:rsid w:val="002F5D5B"/>
    <w:rsid w:val="00330ED9"/>
    <w:rsid w:val="00347E95"/>
    <w:rsid w:val="00393A53"/>
    <w:rsid w:val="003D49B8"/>
    <w:rsid w:val="003E1EF3"/>
    <w:rsid w:val="003E61A4"/>
    <w:rsid w:val="003F29FA"/>
    <w:rsid w:val="00413F01"/>
    <w:rsid w:val="00420A3F"/>
    <w:rsid w:val="004516C9"/>
    <w:rsid w:val="004712AC"/>
    <w:rsid w:val="004876CA"/>
    <w:rsid w:val="004B2B81"/>
    <w:rsid w:val="00513377"/>
    <w:rsid w:val="0051636A"/>
    <w:rsid w:val="00542BFB"/>
    <w:rsid w:val="00562411"/>
    <w:rsid w:val="00567398"/>
    <w:rsid w:val="00582BB7"/>
    <w:rsid w:val="00591932"/>
    <w:rsid w:val="005B7B2E"/>
    <w:rsid w:val="005B7D25"/>
    <w:rsid w:val="005D64F4"/>
    <w:rsid w:val="005F01DD"/>
    <w:rsid w:val="00601941"/>
    <w:rsid w:val="00614B1C"/>
    <w:rsid w:val="00634B2B"/>
    <w:rsid w:val="006573F0"/>
    <w:rsid w:val="006B03DD"/>
    <w:rsid w:val="006B2F8B"/>
    <w:rsid w:val="007032EB"/>
    <w:rsid w:val="007440F2"/>
    <w:rsid w:val="00745109"/>
    <w:rsid w:val="00746836"/>
    <w:rsid w:val="0075481D"/>
    <w:rsid w:val="007833AC"/>
    <w:rsid w:val="00795E2E"/>
    <w:rsid w:val="007975B3"/>
    <w:rsid w:val="007A5529"/>
    <w:rsid w:val="007D0B49"/>
    <w:rsid w:val="007D3DEE"/>
    <w:rsid w:val="007E54B6"/>
    <w:rsid w:val="00810C82"/>
    <w:rsid w:val="0081274B"/>
    <w:rsid w:val="00836BD0"/>
    <w:rsid w:val="00861D9C"/>
    <w:rsid w:val="00876284"/>
    <w:rsid w:val="00887F18"/>
    <w:rsid w:val="008B7488"/>
    <w:rsid w:val="008D3F09"/>
    <w:rsid w:val="008E3C33"/>
    <w:rsid w:val="009319B9"/>
    <w:rsid w:val="00932735"/>
    <w:rsid w:val="00942424"/>
    <w:rsid w:val="0096508B"/>
    <w:rsid w:val="00967297"/>
    <w:rsid w:val="0098271F"/>
    <w:rsid w:val="009C2059"/>
    <w:rsid w:val="009F5247"/>
    <w:rsid w:val="00A11613"/>
    <w:rsid w:val="00A153D6"/>
    <w:rsid w:val="00A22991"/>
    <w:rsid w:val="00A40153"/>
    <w:rsid w:val="00A4647A"/>
    <w:rsid w:val="00A708BE"/>
    <w:rsid w:val="00A77F8D"/>
    <w:rsid w:val="00AA167E"/>
    <w:rsid w:val="00AB09C2"/>
    <w:rsid w:val="00AF6D3A"/>
    <w:rsid w:val="00B16CF7"/>
    <w:rsid w:val="00B217BA"/>
    <w:rsid w:val="00B32478"/>
    <w:rsid w:val="00B661FC"/>
    <w:rsid w:val="00B72330"/>
    <w:rsid w:val="00B73129"/>
    <w:rsid w:val="00B77A56"/>
    <w:rsid w:val="00B95EF3"/>
    <w:rsid w:val="00B96F6B"/>
    <w:rsid w:val="00BB03DE"/>
    <w:rsid w:val="00BB3997"/>
    <w:rsid w:val="00BB6953"/>
    <w:rsid w:val="00BB7353"/>
    <w:rsid w:val="00BF138B"/>
    <w:rsid w:val="00BF7DAC"/>
    <w:rsid w:val="00C15B61"/>
    <w:rsid w:val="00C44247"/>
    <w:rsid w:val="00C4493D"/>
    <w:rsid w:val="00CC016D"/>
    <w:rsid w:val="00CF7DBF"/>
    <w:rsid w:val="00D15C94"/>
    <w:rsid w:val="00D20C90"/>
    <w:rsid w:val="00D461F1"/>
    <w:rsid w:val="00D77ACB"/>
    <w:rsid w:val="00D92253"/>
    <w:rsid w:val="00D943D7"/>
    <w:rsid w:val="00DA261D"/>
    <w:rsid w:val="00DA6740"/>
    <w:rsid w:val="00DC4E6F"/>
    <w:rsid w:val="00DD2B6E"/>
    <w:rsid w:val="00E13635"/>
    <w:rsid w:val="00E74428"/>
    <w:rsid w:val="00E82C53"/>
    <w:rsid w:val="00E9421C"/>
    <w:rsid w:val="00EA133E"/>
    <w:rsid w:val="00EC72D2"/>
    <w:rsid w:val="00ED7CAE"/>
    <w:rsid w:val="00F16B90"/>
    <w:rsid w:val="00F25F9E"/>
    <w:rsid w:val="00F70CE1"/>
    <w:rsid w:val="00F845BB"/>
    <w:rsid w:val="00FA3762"/>
    <w:rsid w:val="00FC59BC"/>
    <w:rsid w:val="00FD60A5"/>
    <w:rsid w:val="19D22531"/>
    <w:rsid w:val="29DE6FC9"/>
    <w:rsid w:val="2B1202C0"/>
    <w:rsid w:val="2E6A6C73"/>
    <w:rsid w:val="3207469D"/>
    <w:rsid w:val="3F65274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kern w:val="0"/>
      <w:sz w:val="32"/>
      <w:szCs w:val="32"/>
      <w:lang w:val="en-US" w:eastAsia="zh-CN" w:bidi="ar-SA"/>
    </w:rPr>
  </w:style>
  <w:style w:type="paragraph" w:styleId="2">
    <w:name w:val="heading 1"/>
    <w:basedOn w:val="1"/>
    <w:next w:val="1"/>
    <w:link w:val="10"/>
    <w:qFormat/>
    <w:uiPriority w:val="99"/>
    <w:pPr>
      <w:keepNext/>
      <w:keepLines/>
      <w:spacing w:before="340" w:after="330" w:line="578" w:lineRule="atLeast"/>
      <w:outlineLvl w:val="0"/>
    </w:pPr>
    <w:rPr>
      <w:b/>
      <w:bCs/>
      <w:kern w:val="44"/>
      <w:sz w:val="44"/>
      <w:szCs w:val="44"/>
    </w:rPr>
  </w:style>
  <w:style w:type="character" w:default="1" w:styleId="6">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iPriority w:val="99"/>
    <w:pPr>
      <w:autoSpaceDE/>
      <w:autoSpaceDN/>
      <w:snapToGrid/>
      <w:spacing w:line="240" w:lineRule="auto"/>
      <w:ind w:firstLine="0"/>
    </w:pPr>
    <w:rPr>
      <w:rFonts w:eastAsia="宋体"/>
      <w:sz w:val="18"/>
      <w:szCs w:val="18"/>
    </w:rPr>
  </w:style>
  <w:style w:type="paragraph" w:styleId="4">
    <w:name w:val="footer"/>
    <w:basedOn w:val="1"/>
    <w:link w:val="17"/>
    <w:uiPriority w:val="99"/>
    <w:pPr>
      <w:tabs>
        <w:tab w:val="center" w:pos="4153"/>
        <w:tab w:val="right" w:pos="8306"/>
      </w:tabs>
      <w:autoSpaceDE/>
      <w:autoSpaceDN/>
      <w:spacing w:line="240" w:lineRule="auto"/>
      <w:ind w:firstLine="0"/>
      <w:jc w:val="left"/>
    </w:pPr>
    <w:rPr>
      <w:rFonts w:eastAsia="宋体"/>
      <w:sz w:val="18"/>
      <w:szCs w:val="18"/>
    </w:rPr>
  </w:style>
  <w:style w:type="paragraph" w:styleId="5">
    <w:name w:val="header"/>
    <w:basedOn w:val="1"/>
    <w:link w:val="19"/>
    <w:uiPriority w:val="99"/>
    <w:pPr>
      <w:pBdr>
        <w:bottom w:val="single" w:color="auto" w:sz="6" w:space="1"/>
      </w:pBdr>
      <w:tabs>
        <w:tab w:val="center" w:pos="4153"/>
        <w:tab w:val="right" w:pos="8306"/>
      </w:tabs>
      <w:autoSpaceDE/>
      <w:autoSpaceDN/>
      <w:spacing w:line="240" w:lineRule="auto"/>
      <w:ind w:firstLine="0"/>
      <w:jc w:val="center"/>
    </w:pPr>
    <w:rPr>
      <w:rFonts w:eastAsia="宋体"/>
      <w:sz w:val="18"/>
      <w:szCs w:val="18"/>
    </w:rPr>
  </w:style>
  <w:style w:type="character" w:styleId="7">
    <w:name w:val="page number"/>
    <w:basedOn w:val="6"/>
    <w:uiPriority w:val="99"/>
  </w:style>
  <w:style w:type="table" w:styleId="9">
    <w:name w:val="Table Grid"/>
    <w:basedOn w:val="8"/>
    <w:qFormat/>
    <w:uiPriority w:val="99"/>
    <w:pPr>
      <w:widowControl w:val="0"/>
      <w:autoSpaceDE w:val="0"/>
      <w:autoSpaceDN w:val="0"/>
      <w:snapToGrid w:val="0"/>
      <w:spacing w:line="590" w:lineRule="atLeast"/>
      <w:ind w:firstLine="624"/>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Heading 1 Char"/>
    <w:basedOn w:val="6"/>
    <w:link w:val="2"/>
    <w:locked/>
    <w:uiPriority w:val="99"/>
    <w:rPr>
      <w:rFonts w:ascii="Times New Roman" w:hAnsi="Times New Roman" w:eastAsia="方正仿宋_GBK" w:cs="Times New Roman"/>
      <w:b/>
      <w:bCs/>
      <w:kern w:val="44"/>
      <w:sz w:val="44"/>
      <w:szCs w:val="44"/>
    </w:rPr>
  </w:style>
  <w:style w:type="character" w:customStyle="1" w:styleId="11">
    <w:name w:val="Header Char"/>
    <w:locked/>
    <w:uiPriority w:val="99"/>
    <w:rPr>
      <w:rFonts w:ascii="Times New Roman" w:hAnsi="Times New Roman" w:eastAsia="宋体" w:cs="Times New Roman"/>
      <w:sz w:val="18"/>
      <w:szCs w:val="18"/>
    </w:rPr>
  </w:style>
  <w:style w:type="character" w:customStyle="1" w:styleId="12">
    <w:name w:val="Footer Char"/>
    <w:locked/>
    <w:uiPriority w:val="99"/>
    <w:rPr>
      <w:rFonts w:ascii="Times New Roman" w:hAnsi="Times New Roman" w:eastAsia="宋体" w:cs="Times New Roman"/>
      <w:sz w:val="18"/>
      <w:szCs w:val="18"/>
    </w:rPr>
  </w:style>
  <w:style w:type="character" w:customStyle="1" w:styleId="13">
    <w:name w:val="Balloon Text Char"/>
    <w:locked/>
    <w:uiPriority w:val="99"/>
    <w:rPr>
      <w:rFonts w:ascii="Times New Roman" w:hAnsi="Times New Roman" w:eastAsia="宋体" w:cs="Times New Roman"/>
      <w:sz w:val="18"/>
      <w:szCs w:val="18"/>
    </w:rPr>
  </w:style>
  <w:style w:type="character" w:customStyle="1" w:styleId="14">
    <w:name w:val="Balloon Text Char1"/>
    <w:basedOn w:val="6"/>
    <w:link w:val="3"/>
    <w:semiHidden/>
    <w:locked/>
    <w:uiPriority w:val="99"/>
    <w:rPr>
      <w:rFonts w:ascii="Times New Roman" w:hAnsi="Times New Roman" w:eastAsia="方正仿宋_GBK" w:cs="Times New Roman"/>
      <w:kern w:val="0"/>
      <w:sz w:val="2"/>
      <w:szCs w:val="2"/>
    </w:rPr>
  </w:style>
  <w:style w:type="character" w:customStyle="1" w:styleId="15">
    <w:name w:val="Balloon Text Char2"/>
    <w:basedOn w:val="6"/>
    <w:link w:val="3"/>
    <w:semiHidden/>
    <w:locked/>
    <w:uiPriority w:val="99"/>
    <w:rPr>
      <w:rFonts w:ascii="Times New Roman" w:hAnsi="Times New Roman" w:eastAsia="方正仿宋_GBK" w:cs="Times New Roman"/>
      <w:kern w:val="0"/>
      <w:sz w:val="18"/>
      <w:szCs w:val="18"/>
    </w:rPr>
  </w:style>
  <w:style w:type="character" w:customStyle="1" w:styleId="16">
    <w:name w:val="Footer Char1"/>
    <w:basedOn w:val="6"/>
    <w:link w:val="4"/>
    <w:semiHidden/>
    <w:locked/>
    <w:uiPriority w:val="99"/>
    <w:rPr>
      <w:rFonts w:ascii="Times New Roman" w:hAnsi="Times New Roman" w:eastAsia="方正仿宋_GBK" w:cs="Times New Roman"/>
      <w:kern w:val="0"/>
      <w:sz w:val="18"/>
      <w:szCs w:val="18"/>
    </w:rPr>
  </w:style>
  <w:style w:type="character" w:customStyle="1" w:styleId="17">
    <w:name w:val="Footer Char2"/>
    <w:basedOn w:val="6"/>
    <w:link w:val="4"/>
    <w:semiHidden/>
    <w:locked/>
    <w:uiPriority w:val="99"/>
    <w:rPr>
      <w:rFonts w:ascii="Times New Roman" w:hAnsi="Times New Roman" w:eastAsia="方正仿宋_GBK" w:cs="Times New Roman"/>
      <w:kern w:val="0"/>
      <w:sz w:val="18"/>
      <w:szCs w:val="18"/>
    </w:rPr>
  </w:style>
  <w:style w:type="character" w:customStyle="1" w:styleId="18">
    <w:name w:val="Header Char1"/>
    <w:basedOn w:val="6"/>
    <w:link w:val="5"/>
    <w:semiHidden/>
    <w:locked/>
    <w:uiPriority w:val="99"/>
    <w:rPr>
      <w:rFonts w:ascii="Times New Roman" w:hAnsi="Times New Roman" w:eastAsia="方正仿宋_GBK" w:cs="Times New Roman"/>
      <w:kern w:val="0"/>
      <w:sz w:val="18"/>
      <w:szCs w:val="18"/>
    </w:rPr>
  </w:style>
  <w:style w:type="character" w:customStyle="1" w:styleId="19">
    <w:name w:val="Header Char2"/>
    <w:basedOn w:val="6"/>
    <w:link w:val="5"/>
    <w:semiHidden/>
    <w:locked/>
    <w:uiPriority w:val="99"/>
    <w:rPr>
      <w:rFonts w:ascii="Times New Roman" w:hAnsi="Times New Roman" w:eastAsia="方正仿宋_GBK" w:cs="Times New Roman"/>
      <w:kern w:val="0"/>
      <w:sz w:val="18"/>
      <w:szCs w:val="18"/>
    </w:rPr>
  </w:style>
  <w:style w:type="paragraph" w:styleId="20">
    <w:name w:val="List Paragraph"/>
    <w:basedOn w:val="1"/>
    <w:qFormat/>
    <w:uiPriority w:val="99"/>
    <w:pPr>
      <w:autoSpaceDE/>
      <w:autoSpaceDN/>
      <w:snapToGrid/>
      <w:spacing w:line="240" w:lineRule="auto"/>
      <w:ind w:firstLine="420" w:firstLineChars="200"/>
    </w:pPr>
    <w:rPr>
      <w:rFonts w:ascii="Cambria" w:hAnsi="Cambria" w:eastAsia="宋体" w:cs="Cambria"/>
      <w:kern w:val="2"/>
      <w:sz w:val="24"/>
      <w:szCs w:val="24"/>
    </w:rPr>
  </w:style>
  <w:style w:type="paragraph" w:customStyle="1" w:styleId="21">
    <w:name w:val="标题1"/>
    <w:basedOn w:val="1"/>
    <w:next w:val="1"/>
    <w:uiPriority w:val="99"/>
    <w:pPr>
      <w:tabs>
        <w:tab w:val="left" w:pos="9193"/>
        <w:tab w:val="left" w:pos="9827"/>
      </w:tabs>
      <w:spacing w:line="700" w:lineRule="atLeast"/>
      <w:ind w:firstLine="0"/>
      <w:jc w:val="center"/>
    </w:pPr>
    <w:rPr>
      <w:rFonts w:eastAsia="方正小标宋_GBK"/>
      <w:sz w:val="44"/>
      <w:szCs w:val="44"/>
    </w:rPr>
  </w:style>
  <w:style w:type="paragraph" w:customStyle="1" w:styleId="22">
    <w:name w:val="附件栏"/>
    <w:basedOn w:val="1"/>
    <w:uiPriority w:val="99"/>
  </w:style>
  <w:style w:type="paragraph" w:styleId="23">
    <w:name w:val="No Spacing"/>
    <w:qFormat/>
    <w:uiPriority w:val="99"/>
    <w:pPr>
      <w:widowControl w:val="0"/>
      <w:autoSpaceDE w:val="0"/>
      <w:autoSpaceDN w:val="0"/>
      <w:snapToGrid w:val="0"/>
      <w:ind w:firstLine="624"/>
      <w:jc w:val="both"/>
    </w:pPr>
    <w:rPr>
      <w:rFonts w:ascii="Times New Roman" w:hAnsi="Times New Roman" w:eastAsia="方正仿宋_GBK" w:cs="Times New Roman"/>
      <w:kern w:val="0"/>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oleObject" Target="embeddings/oleObject2.bin"/><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41</Pages>
  <Words>3223</Words>
  <Characters>18375</Characters>
  <Lines>0</Lines>
  <Paragraphs>0</Paragraphs>
  <TotalTime>945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2018-08-02T01:03:00Z</dcterms:created>
  <dc:creator>user</dc:creator>
  <cp:lastModifiedBy>爱我所爱</cp:lastModifiedBy>
  <dcterms:modified xsi:type="dcterms:W3CDTF">2018-08-20T02:14:39Z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